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4C399" w14:textId="1DA10532" w:rsidR="003937E2" w:rsidRDefault="005A1CDC" w:rsidP="0048389A">
      <w:pPr>
        <w:jc w:val="center"/>
      </w:pPr>
      <w:r>
        <w:rPr>
          <w:noProof/>
        </w:rPr>
        <w:drawing>
          <wp:inline distT="0" distB="0" distL="0" distR="0" wp14:anchorId="48F7B9CA" wp14:editId="629F556B">
            <wp:extent cx="3886200" cy="1066800"/>
            <wp:effectExtent l="0" t="0" r="0" b="0"/>
            <wp:docPr id="2"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066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2B2D7C5" w14:textId="7BF872EB" w:rsidR="00D82FC1" w:rsidRDefault="00D82FC1" w:rsidP="00D82FC1">
      <w:pPr>
        <w:jc w:val="center"/>
        <w:rPr>
          <w:b/>
          <w:bCs/>
          <w:sz w:val="44"/>
          <w:szCs w:val="44"/>
        </w:rPr>
      </w:pPr>
      <w:r>
        <w:rPr>
          <w:b/>
          <w:bCs/>
          <w:sz w:val="44"/>
          <w:szCs w:val="44"/>
        </w:rPr>
        <w:t>COMPETITITVE NEUTRALITY COMPLAINT PROCESS</w:t>
      </w:r>
    </w:p>
    <w:p w14:paraId="420C7037" w14:textId="2D576678" w:rsidR="00D82FC1" w:rsidRDefault="00396F58" w:rsidP="00D82FC1">
      <w:pPr>
        <w:pStyle w:val="Heading1"/>
        <w:rPr>
          <w:b/>
          <w:bCs/>
        </w:rPr>
      </w:pPr>
      <w:r>
        <w:rPr>
          <w:b/>
          <w:bCs/>
        </w:rPr>
        <w:t xml:space="preserve">Background Information/Overview </w:t>
      </w:r>
    </w:p>
    <w:p w14:paraId="7239CB0A" w14:textId="463AFA41" w:rsidR="00D82FC1" w:rsidRPr="000B6362" w:rsidRDefault="00D82FC1" w:rsidP="00D82FC1">
      <w:r>
        <w:t xml:space="preserve">The </w:t>
      </w:r>
      <w:r w:rsidRPr="00327D34">
        <w:rPr>
          <w:i/>
          <w:iCs/>
        </w:rPr>
        <w:t>Local Government Act 2009</w:t>
      </w:r>
      <w:r w:rsidR="00312924">
        <w:t xml:space="preserve"> (LGA)</w:t>
      </w:r>
      <w:r>
        <w:t xml:space="preserve"> (s48) states that “</w:t>
      </w:r>
      <w:r w:rsidRPr="00431644">
        <w:rPr>
          <w:i/>
          <w:iCs/>
        </w:rPr>
        <w:t>A local government must adopt a process for resolving competitive neutrality complaints”</w:t>
      </w:r>
      <w:r w:rsidR="001E02F8">
        <w:rPr>
          <w:i/>
          <w:iCs/>
        </w:rPr>
        <w:t>.</w:t>
      </w:r>
      <w:r w:rsidR="000B6362">
        <w:t xml:space="preserve"> </w:t>
      </w:r>
    </w:p>
    <w:p w14:paraId="2E2F2F67" w14:textId="2A04D9DD" w:rsidR="00D82FC1" w:rsidRDefault="00826127" w:rsidP="00D82FC1">
      <w:r>
        <w:t xml:space="preserve">Whilst only a process is required, there are several options for councils.  </w:t>
      </w:r>
      <w:r w:rsidR="00D82FC1" w:rsidRPr="00826127">
        <w:t xml:space="preserve">The following </w:t>
      </w:r>
      <w:r>
        <w:t xml:space="preserve">can </w:t>
      </w:r>
      <w:r w:rsidR="00602D44">
        <w:t>be converted</w:t>
      </w:r>
      <w:r>
        <w:t xml:space="preserve"> into any of the options</w:t>
      </w:r>
      <w:r w:rsidR="00602D44">
        <w:t>:</w:t>
      </w:r>
      <w:r>
        <w:t xml:space="preserve">  </w:t>
      </w:r>
    </w:p>
    <w:p w14:paraId="37CF9395" w14:textId="75773B13" w:rsidR="00130285" w:rsidRDefault="00826127" w:rsidP="00826127">
      <w:pPr>
        <w:pStyle w:val="ListParagraph"/>
        <w:numPr>
          <w:ilvl w:val="0"/>
          <w:numId w:val="6"/>
        </w:numPr>
      </w:pPr>
      <w:r>
        <w:t xml:space="preserve">Develop a Competitive Neutrality Complaints Process Policy </w:t>
      </w:r>
    </w:p>
    <w:p w14:paraId="7A224AE0" w14:textId="042AE051" w:rsidR="00826127" w:rsidRDefault="00826127" w:rsidP="00746927">
      <w:pPr>
        <w:pStyle w:val="ListParagraph"/>
        <w:numPr>
          <w:ilvl w:val="1"/>
          <w:numId w:val="6"/>
        </w:numPr>
        <w:spacing w:after="0"/>
        <w:ind w:left="1077" w:hanging="357"/>
      </w:pPr>
      <w:r>
        <w:t>This option can include the process in the policy itself or have a base Policy and have a separate process (procedure) document</w:t>
      </w:r>
    </w:p>
    <w:p w14:paraId="7BEC272A" w14:textId="0A6A5636" w:rsidR="00602D44" w:rsidRDefault="00602D44" w:rsidP="00A343B5">
      <w:pPr>
        <w:spacing w:after="120"/>
      </w:pPr>
      <w:r>
        <w:t>OR</w:t>
      </w:r>
    </w:p>
    <w:p w14:paraId="200A5068" w14:textId="6E6A5528" w:rsidR="00826127" w:rsidRDefault="00826127" w:rsidP="00826127">
      <w:pPr>
        <w:pStyle w:val="ListParagraph"/>
        <w:numPr>
          <w:ilvl w:val="0"/>
          <w:numId w:val="6"/>
        </w:numPr>
      </w:pPr>
      <w:r>
        <w:t xml:space="preserve">Include references to managing Competitive Neutrality Complaints in </w:t>
      </w:r>
      <w:r w:rsidR="00D41D92">
        <w:t>your c</w:t>
      </w:r>
      <w:r>
        <w:t>ouncils Administrative Actions Complaints Policy/Process</w:t>
      </w:r>
    </w:p>
    <w:p w14:paraId="37EF89CA" w14:textId="79D4F03F" w:rsidR="00826127" w:rsidRDefault="00826127" w:rsidP="00826127">
      <w:pPr>
        <w:pStyle w:val="ListParagraph"/>
        <w:numPr>
          <w:ilvl w:val="1"/>
          <w:numId w:val="6"/>
        </w:numPr>
      </w:pPr>
      <w:r>
        <w:t>Develop a Competitive Neutrality Complaints Process (procedure) as a sub-document.</w:t>
      </w:r>
    </w:p>
    <w:p w14:paraId="0F7F3733" w14:textId="0C0ECC0D" w:rsidR="00BA723E" w:rsidRDefault="00826127" w:rsidP="00BA723E">
      <w:r>
        <w:t>It is recommended that on the Council’s website, reference is made to the Competitive Neutrality Complaints Process.  Again</w:t>
      </w:r>
      <w:r w:rsidR="00D41D92">
        <w:t>,</w:t>
      </w:r>
      <w:r>
        <w:t xml:space="preserve"> this can be as part of the Administrative Actions Complaints page or separate.</w:t>
      </w:r>
    </w:p>
    <w:p w14:paraId="2EB6B490" w14:textId="5DFF6750" w:rsidR="00D41D92" w:rsidRPr="00D41D92" w:rsidRDefault="00D41D92" w:rsidP="00BA723E">
      <w:pPr>
        <w:rPr>
          <w:u w:val="single"/>
        </w:rPr>
      </w:pPr>
      <w:r w:rsidRPr="00D41D92">
        <w:rPr>
          <w:u w:val="single"/>
        </w:rPr>
        <w:t xml:space="preserve">Related </w:t>
      </w:r>
      <w:r w:rsidR="00312924">
        <w:rPr>
          <w:u w:val="single"/>
        </w:rPr>
        <w:t>financial year and a</w:t>
      </w:r>
      <w:r w:rsidRPr="00D41D92">
        <w:rPr>
          <w:u w:val="single"/>
        </w:rPr>
        <w:t xml:space="preserve">nnual </w:t>
      </w:r>
      <w:r w:rsidR="00312924">
        <w:rPr>
          <w:u w:val="single"/>
        </w:rPr>
        <w:t>r</w:t>
      </w:r>
      <w:r w:rsidRPr="00D41D92">
        <w:rPr>
          <w:u w:val="single"/>
        </w:rPr>
        <w:t>eport requirements</w:t>
      </w:r>
    </w:p>
    <w:p w14:paraId="2695CD72" w14:textId="44903A09" w:rsidR="00D41D92" w:rsidRDefault="00D41D92" w:rsidP="00BA723E">
      <w:r>
        <w:t>A local government of Queensland must prepare an annual report.  In addition to many other requirements, the annual report must provide information on all beneficial enterprises</w:t>
      </w:r>
      <w:r w:rsidR="00312924">
        <w:t xml:space="preserve"> and business activities and if competitive neutrality principle was applied to any identified significant business activities.  Refer to the LGA ss41 and 45(a-d).  A list of annual report requirements can be located here - </w:t>
      </w:r>
      <w:hyperlink r:id="rId11" w:history="1">
        <w:r>
          <w:rPr>
            <w:rStyle w:val="Hyperlink"/>
          </w:rPr>
          <w:t>Annual report checklist</w:t>
        </w:r>
      </w:hyperlink>
      <w:r w:rsidR="00312924">
        <w:t xml:space="preserve"> (</w:t>
      </w:r>
      <w:hyperlink r:id="rId12" w:history="1">
        <w:r w:rsidR="00312924" w:rsidRPr="00ED2EB6">
          <w:rPr>
            <w:rStyle w:val="Hyperlink"/>
          </w:rPr>
          <w:t>https://www.localgovernment.qld.gov.au/__data/assets/pdf_file/0024/56553/annual-report-checklist.pdf</w:t>
        </w:r>
      </w:hyperlink>
      <w:r w:rsidR="00312924">
        <w:t>)</w:t>
      </w:r>
    </w:p>
    <w:p w14:paraId="774CBB45" w14:textId="2BC1BF65" w:rsidR="00BA723E" w:rsidRDefault="00312924" w:rsidP="00BA723E">
      <w:r>
        <w:t xml:space="preserve">In addition, each financial year a local government must decide, by resolution, whether or not to apply the code of competitive conduct (LGA s47).  The Local Government Regulation 2012 (s39) provides further information on what is a prescribed business activity. </w:t>
      </w:r>
    </w:p>
    <w:p w14:paraId="0283ED2E" w14:textId="77777777" w:rsidR="00972043" w:rsidRDefault="00972043">
      <w:r>
        <w:t xml:space="preserve">For more information refer to the </w:t>
      </w:r>
      <w:hyperlink r:id="rId13" w:history="1">
        <w:r w:rsidR="00746927" w:rsidRPr="00746927">
          <w:rPr>
            <w:rStyle w:val="Hyperlink"/>
          </w:rPr>
          <w:t>Queensland Competition Authority</w:t>
        </w:r>
      </w:hyperlink>
      <w:r w:rsidR="00746927">
        <w:t xml:space="preserve"> </w:t>
      </w:r>
    </w:p>
    <w:p w14:paraId="1F380CBE" w14:textId="656583F3" w:rsidR="00C63486" w:rsidRDefault="00746927">
      <w:pPr>
        <w:rPr>
          <w:i/>
          <w:iCs/>
          <w:sz w:val="18"/>
          <w:szCs w:val="18"/>
        </w:rPr>
      </w:pPr>
      <w:r>
        <w:t>(</w:t>
      </w:r>
      <w:r w:rsidRPr="00746927">
        <w:t>https://www.qca.org.au/project/competitive-neutrality/</w:t>
      </w:r>
      <w:r>
        <w:t>)</w:t>
      </w:r>
      <w:r w:rsidR="00C63486" w:rsidRPr="00826127">
        <w:rPr>
          <w:noProof/>
        </w:rPr>
        <mc:AlternateContent>
          <mc:Choice Requires="wps">
            <w:drawing>
              <wp:anchor distT="45720" distB="45720" distL="114300" distR="114300" simplePos="0" relativeHeight="251659264" behindDoc="0" locked="0" layoutInCell="1" allowOverlap="1" wp14:anchorId="131A613E" wp14:editId="761132AE">
                <wp:simplePos x="0" y="0"/>
                <wp:positionH relativeFrom="margin">
                  <wp:posOffset>0</wp:posOffset>
                </wp:positionH>
                <wp:positionV relativeFrom="paragraph">
                  <wp:posOffset>302260</wp:posOffset>
                </wp:positionV>
                <wp:extent cx="53721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0525"/>
                        </a:xfrm>
                        <a:prstGeom prst="rect">
                          <a:avLst/>
                        </a:prstGeom>
                        <a:solidFill>
                          <a:srgbClr val="FFFFFF"/>
                        </a:solidFill>
                        <a:ln w="9525">
                          <a:solidFill>
                            <a:srgbClr val="000000"/>
                          </a:solidFill>
                          <a:miter lim="800000"/>
                          <a:headEnd/>
                          <a:tailEnd/>
                        </a:ln>
                      </wps:spPr>
                      <wps:txbx>
                        <w:txbxContent>
                          <w:p w14:paraId="63556C47" w14:textId="3A794B09" w:rsidR="00C63486" w:rsidRPr="00BA723E" w:rsidRDefault="00C63486" w:rsidP="00C63486">
                            <w:pPr>
                              <w:rPr>
                                <w:i/>
                                <w:iCs/>
                                <w:sz w:val="18"/>
                                <w:szCs w:val="18"/>
                              </w:rPr>
                            </w:pPr>
                            <w:r w:rsidRPr="00BA723E">
                              <w:rPr>
                                <w:i/>
                                <w:iCs/>
                                <w:sz w:val="18"/>
                                <w:szCs w:val="18"/>
                              </w:rPr>
                              <w:t xml:space="preserve">This resource has been prepared in partnership between LGMA and the </w:t>
                            </w:r>
                            <w:r w:rsidR="00C55479" w:rsidRPr="00C55479">
                              <w:rPr>
                                <w:i/>
                                <w:iCs/>
                                <w:sz w:val="18"/>
                                <w:szCs w:val="18"/>
                              </w:rPr>
                              <w:t>Department of Housing, Local Government, Planning and Public Works</w:t>
                            </w:r>
                            <w:r w:rsidR="00C55479">
                              <w:rPr>
                                <w:i/>
                                <w:iCs/>
                                <w:sz w:val="18"/>
                                <w:szCs w:val="18"/>
                              </w:rPr>
                              <w:t xml:space="preserve"> </w:t>
                            </w:r>
                            <w:r w:rsidRPr="00BA723E">
                              <w:rPr>
                                <w:i/>
                                <w:iCs/>
                                <w:sz w:val="18"/>
                                <w:szCs w:val="18"/>
                              </w:rPr>
                              <w:t xml:space="preserve"> through the Governance Advisory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A613E" id="_x0000_t202" coordsize="21600,21600" o:spt="202" path="m,l,21600r21600,l21600,xe">
                <v:stroke joinstyle="miter"/>
                <v:path gradientshapeok="t" o:connecttype="rect"/>
              </v:shapetype>
              <v:shape id="Text Box 2" o:spid="_x0000_s1026" type="#_x0000_t202" style="position:absolute;margin-left:0;margin-top:23.8pt;width:423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">
                <v:textbox>
                  <w:txbxContent>
                    <w:p w14:paraId="63556C47" w14:textId="3A794B09" w:rsidR="00C63486" w:rsidRPr="00BA723E" w:rsidRDefault="00C63486" w:rsidP="00C63486">
                      <w:pPr>
                        <w:rPr>
                          <w:i/>
                          <w:iCs/>
                          <w:sz w:val="18"/>
                          <w:szCs w:val="18"/>
                        </w:rPr>
                      </w:pPr>
                      <w:r w:rsidRPr="00BA723E">
                        <w:rPr>
                          <w:i/>
                          <w:iCs/>
                          <w:sz w:val="18"/>
                          <w:szCs w:val="18"/>
                        </w:rPr>
                        <w:t xml:space="preserve">This resource has been prepared in partnership between LGMA and the </w:t>
                      </w:r>
                      <w:r w:rsidR="00C55479" w:rsidRPr="00C55479">
                        <w:rPr>
                          <w:i/>
                          <w:iCs/>
                          <w:sz w:val="18"/>
                          <w:szCs w:val="18"/>
                        </w:rPr>
                        <w:t>Department of Housing, Local Government, Planning and Public Works</w:t>
                      </w:r>
                      <w:r w:rsidR="00C55479">
                        <w:rPr>
                          <w:i/>
                          <w:iCs/>
                          <w:sz w:val="18"/>
                          <w:szCs w:val="18"/>
                        </w:rPr>
                        <w:t xml:space="preserve"> </w:t>
                      </w:r>
                      <w:r w:rsidRPr="00BA723E">
                        <w:rPr>
                          <w:i/>
                          <w:iCs/>
                          <w:sz w:val="18"/>
                          <w:szCs w:val="18"/>
                        </w:rPr>
                        <w:t xml:space="preserve"> through the Governance Advisory Service.</w:t>
                      </w:r>
                    </w:p>
                  </w:txbxContent>
                </v:textbox>
                <w10:wrap type="square" anchorx="margin"/>
              </v:shape>
            </w:pict>
          </mc:Fallback>
        </mc:AlternateContent>
      </w:r>
      <w:r w:rsidR="00C63486">
        <w:rPr>
          <w:i/>
          <w:iCs/>
          <w:sz w:val="18"/>
          <w:szCs w:val="18"/>
        </w:rPr>
        <w:br w:type="page"/>
      </w:r>
    </w:p>
    <w:p w14:paraId="71385411" w14:textId="5E3C387E" w:rsidR="00266BCE" w:rsidRPr="002A75B6" w:rsidRDefault="00266BCE" w:rsidP="00266BCE">
      <w:pPr>
        <w:pStyle w:val="Heading1"/>
        <w:rPr>
          <w:b/>
          <w:bCs/>
        </w:rPr>
      </w:pPr>
      <w:r>
        <w:rPr>
          <w:b/>
          <w:bCs/>
        </w:rPr>
        <w:lastRenderedPageBreak/>
        <w:t>Competitive Neutrality Complaint Process Templates</w:t>
      </w:r>
    </w:p>
    <w:p w14:paraId="15D8EDA1" w14:textId="0A809151" w:rsidR="00266BCE" w:rsidRDefault="00D7168F" w:rsidP="00266BCE">
      <w:r>
        <w:t>The following has been developed as a full suite of documents councils may consider of implementing.</w:t>
      </w:r>
      <w:r w:rsidR="00702307">
        <w:t xml:space="preserve">  These tools can be streamlined as you deem appropriate for your council.</w:t>
      </w:r>
    </w:p>
    <w:p w14:paraId="0153881A" w14:textId="234974E5" w:rsidR="00702307" w:rsidRDefault="00702307" w:rsidP="00266BCE">
      <w:r>
        <w:t>In the following pages, you will find these tools and templates:</w:t>
      </w:r>
    </w:p>
    <w:p w14:paraId="54162FB6" w14:textId="232B974A" w:rsidR="00702307" w:rsidRDefault="00702307" w:rsidP="00702307">
      <w:pPr>
        <w:pStyle w:val="ListParagraph"/>
        <w:numPr>
          <w:ilvl w:val="0"/>
          <w:numId w:val="16"/>
        </w:numPr>
      </w:pPr>
      <w:r>
        <w:t>A Policy or Process (procedure) template</w:t>
      </w:r>
      <w:r w:rsidR="00EA5F55">
        <w:t xml:space="preserve"> (pages 3-7)</w:t>
      </w:r>
      <w:r>
        <w:t xml:space="preserve">. </w:t>
      </w:r>
    </w:p>
    <w:p w14:paraId="691D35F1" w14:textId="3FFFA006" w:rsidR="00702307" w:rsidRDefault="00702307" w:rsidP="00702307">
      <w:pPr>
        <w:pStyle w:val="ListParagraph"/>
        <w:numPr>
          <w:ilvl w:val="0"/>
          <w:numId w:val="16"/>
        </w:numPr>
      </w:pPr>
      <w:r>
        <w:t>Competitive Neutrality Complaint form template</w:t>
      </w:r>
      <w:r w:rsidR="00EA5F55">
        <w:t xml:space="preserve"> (pages 8-9)</w:t>
      </w:r>
    </w:p>
    <w:p w14:paraId="405E17D1" w14:textId="1F8A50F0" w:rsidR="00E4423B" w:rsidRDefault="00E4423B" w:rsidP="00E4423B">
      <w:pPr>
        <w:pStyle w:val="ListParagraph"/>
        <w:numPr>
          <w:ilvl w:val="1"/>
          <w:numId w:val="16"/>
        </w:numPr>
      </w:pPr>
      <w:r>
        <w:t xml:space="preserve">Preliminary </w:t>
      </w:r>
      <w:r w:rsidR="004C7FE1">
        <w:t xml:space="preserve">Review - </w:t>
      </w:r>
      <w:r>
        <w:t xml:space="preserve">Competitive Neutrality Complaint </w:t>
      </w:r>
      <w:r w:rsidR="004C7FE1">
        <w:t>F</w:t>
      </w:r>
      <w:r>
        <w:t>orm</w:t>
      </w:r>
    </w:p>
    <w:p w14:paraId="2C0C31AB" w14:textId="3008D08D" w:rsidR="00702307" w:rsidRDefault="00702307" w:rsidP="00702307">
      <w:pPr>
        <w:pStyle w:val="ListParagraph"/>
        <w:numPr>
          <w:ilvl w:val="0"/>
          <w:numId w:val="16"/>
        </w:numPr>
      </w:pPr>
      <w:r>
        <w:t>Proposed wording for your external webpage should you wish to create a specific Competitive Neutrality Complaint page</w:t>
      </w:r>
      <w:r w:rsidR="00EA5F55">
        <w:t xml:space="preserve"> (page 10)</w:t>
      </w:r>
      <w:r>
        <w:t>.</w:t>
      </w:r>
    </w:p>
    <w:p w14:paraId="1804EF3B" w14:textId="2C12A053" w:rsidR="00F66458" w:rsidRDefault="00F66458" w:rsidP="00F66458">
      <w:pPr>
        <w:pStyle w:val="ListParagraph"/>
        <w:numPr>
          <w:ilvl w:val="1"/>
          <w:numId w:val="16"/>
        </w:numPr>
      </w:pPr>
      <w:r>
        <w:t>This can be amended to simply refer to your policy/process or provide further detail and guidance; without having to review the entire process document.</w:t>
      </w:r>
    </w:p>
    <w:p w14:paraId="74C828C1" w14:textId="77777777" w:rsidR="00F66458" w:rsidRDefault="00F66458" w:rsidP="00F66458">
      <w:r w:rsidRPr="001F35B3">
        <w:rPr>
          <w:i/>
          <w:iCs/>
        </w:rPr>
        <w:t>Minimum requirements</w:t>
      </w:r>
      <w:r>
        <w:t xml:space="preserve">:  Councils are reminded that, as per s44 of the </w:t>
      </w:r>
      <w:r w:rsidRPr="00CF00E7">
        <w:rPr>
          <w:i/>
          <w:iCs/>
        </w:rPr>
        <w:t>Local Government Regulations 2012</w:t>
      </w:r>
      <w:r>
        <w:t>, they must ensure the process:</w:t>
      </w:r>
    </w:p>
    <w:p w14:paraId="3DD05C6A" w14:textId="77777777" w:rsidR="00F66458" w:rsidRDefault="00F66458" w:rsidP="00F66458">
      <w:pPr>
        <w:pStyle w:val="ListParagraph"/>
        <w:numPr>
          <w:ilvl w:val="0"/>
          <w:numId w:val="17"/>
        </w:numPr>
      </w:pPr>
      <w:r>
        <w:t xml:space="preserve">allows the opportunity for someone to raise concerns of alleged failures of </w:t>
      </w:r>
      <w:r w:rsidRPr="00374816">
        <w:rPr>
          <w:lang w:eastAsia="en-AU"/>
        </w:rPr>
        <w:t>the business entity to comply with the competitive neutrality principle in conducting the business activity</w:t>
      </w:r>
      <w:r>
        <w:rPr>
          <w:lang w:eastAsia="en-AU"/>
        </w:rPr>
        <w:t xml:space="preserve"> and clarifying the matter, before making a formal complaint; and</w:t>
      </w:r>
    </w:p>
    <w:p w14:paraId="7D762259" w14:textId="77777777" w:rsidR="00F66458" w:rsidRDefault="00F66458" w:rsidP="00F66458">
      <w:pPr>
        <w:pStyle w:val="ListParagraph"/>
        <w:numPr>
          <w:ilvl w:val="0"/>
          <w:numId w:val="17"/>
        </w:numPr>
      </w:pPr>
      <w:r>
        <w:rPr>
          <w:lang w:eastAsia="en-AU"/>
        </w:rPr>
        <w:t>record all complaints, decisions and recommendations.</w:t>
      </w:r>
    </w:p>
    <w:p w14:paraId="619D4A12" w14:textId="12D4A761" w:rsidR="00F66458" w:rsidRDefault="00F66458" w:rsidP="00F66458">
      <w:r>
        <w:t xml:space="preserve">The below template has proposed that as per legislation the informal/preliminary investigation be </w:t>
      </w:r>
      <w:r w:rsidR="001F35B3">
        <w:t xml:space="preserve">undertaken by </w:t>
      </w:r>
      <w:r>
        <w:t>council, but any formal complaints be directed to the Queensland Competition Authority (QCA).  However, Council’s may choose to provide options for that formal process to be submitted to the CEO or QCA.</w:t>
      </w:r>
    </w:p>
    <w:tbl>
      <w:tblPr>
        <w:tblStyle w:val="TableGrid"/>
        <w:tblW w:w="0" w:type="auto"/>
        <w:tblLook w:val="04A0" w:firstRow="1" w:lastRow="0" w:firstColumn="1" w:lastColumn="0" w:noHBand="0" w:noVBand="1"/>
      </w:tblPr>
      <w:tblGrid>
        <w:gridCol w:w="8500"/>
      </w:tblGrid>
      <w:tr w:rsidR="00A66687" w:rsidRPr="00A66687" w14:paraId="724B59C4" w14:textId="77777777" w:rsidTr="00A66687">
        <w:tc>
          <w:tcPr>
            <w:tcW w:w="8500" w:type="dxa"/>
          </w:tcPr>
          <w:p w14:paraId="394BD8DD" w14:textId="32583878" w:rsidR="00A66687" w:rsidRPr="00A66687" w:rsidRDefault="00A66687" w:rsidP="00212150">
            <w:r w:rsidRPr="00A66687">
              <w:rPr>
                <w:i/>
                <w:iCs/>
              </w:rPr>
              <w:t>Disclaimer</w:t>
            </w:r>
            <w:r w:rsidRPr="00A66687">
              <w:t xml:space="preserve">:  these templates have specifically been developed referring to the </w:t>
            </w:r>
            <w:r w:rsidRPr="00A66687">
              <w:rPr>
                <w:i/>
                <w:iCs/>
              </w:rPr>
              <w:t xml:space="preserve">Local Government Act 2009 </w:t>
            </w:r>
            <w:r w:rsidRPr="00A66687">
              <w:t>and supporting Regulation.  Should Brisbane City Council use these templates</w:t>
            </w:r>
            <w:r>
              <w:t xml:space="preserve"> </w:t>
            </w:r>
            <w:r w:rsidRPr="00A66687">
              <w:t xml:space="preserve">considerations of any </w:t>
            </w:r>
            <w:r w:rsidR="00F66458">
              <w:t>differences</w:t>
            </w:r>
            <w:r w:rsidR="00F66458" w:rsidRPr="00A66687">
              <w:t xml:space="preserve"> </w:t>
            </w:r>
            <w:r w:rsidRPr="00A66687">
              <w:t>to the LGA would be required.</w:t>
            </w:r>
          </w:p>
        </w:tc>
      </w:tr>
    </w:tbl>
    <w:p w14:paraId="5A66BB20" w14:textId="0C9D9E92" w:rsidR="00266BCE" w:rsidRPr="002A75B6" w:rsidRDefault="00266BCE" w:rsidP="00266BCE">
      <w:pPr>
        <w:pStyle w:val="Heading1"/>
        <w:rPr>
          <w:b/>
          <w:bCs/>
        </w:rPr>
      </w:pPr>
      <w:r w:rsidRPr="002A75B6">
        <w:rPr>
          <w:b/>
          <w:bCs/>
        </w:rPr>
        <w:t>References/acknowledgements:</w:t>
      </w:r>
    </w:p>
    <w:p w14:paraId="322595F7" w14:textId="027FC6A8" w:rsidR="00266BCE" w:rsidRDefault="00266BCE" w:rsidP="00266BCE">
      <w:r>
        <w:t>Th</w:t>
      </w:r>
      <w:r w:rsidR="00702307">
        <w:t xml:space="preserve">ese </w:t>
      </w:r>
      <w:r>
        <w:t>template</w:t>
      </w:r>
      <w:r w:rsidR="00702307">
        <w:t xml:space="preserve">s have </w:t>
      </w:r>
      <w:r>
        <w:t xml:space="preserve">been developed referencing the </w:t>
      </w:r>
      <w:r w:rsidRPr="00A66687">
        <w:rPr>
          <w:i/>
          <w:iCs/>
        </w:rPr>
        <w:t>Local Government Act 2009</w:t>
      </w:r>
      <w:r>
        <w:t xml:space="preserve"> and </w:t>
      </w:r>
      <w:hyperlink r:id="rId14" w:history="1">
        <w:r w:rsidRPr="003724CB">
          <w:rPr>
            <w:rStyle w:val="Hyperlink"/>
          </w:rPr>
          <w:t>Queensland Competition Authority</w:t>
        </w:r>
      </w:hyperlink>
      <w:r>
        <w:t xml:space="preserve"> guidelines and documentation.</w:t>
      </w:r>
    </w:p>
    <w:p w14:paraId="66F6E850" w14:textId="2B8872CD" w:rsidR="00266BCE" w:rsidRDefault="00266BCE" w:rsidP="00266BCE">
      <w:r>
        <w:t xml:space="preserve">Other research </w:t>
      </w:r>
      <w:r w:rsidR="00702307">
        <w:t xml:space="preserve">and reference </w:t>
      </w:r>
      <w:r>
        <w:t>material source</w:t>
      </w:r>
      <w:r w:rsidR="00702307">
        <w:t>d</w:t>
      </w:r>
      <w:r>
        <w:t xml:space="preserve"> from council websites), which the following list acknowledges:</w:t>
      </w:r>
    </w:p>
    <w:p w14:paraId="293B3F1F" w14:textId="77777777" w:rsidR="00266BCE" w:rsidRDefault="00266BCE" w:rsidP="00266BCE">
      <w:pPr>
        <w:pStyle w:val="ListParagraph"/>
        <w:numPr>
          <w:ilvl w:val="0"/>
          <w:numId w:val="11"/>
        </w:numPr>
      </w:pPr>
      <w:r>
        <w:t>Bundaberg Regional Council</w:t>
      </w:r>
    </w:p>
    <w:p w14:paraId="60F15DFA" w14:textId="77777777" w:rsidR="00266BCE" w:rsidRDefault="00266BCE" w:rsidP="00266BCE">
      <w:pPr>
        <w:pStyle w:val="ListParagraph"/>
        <w:numPr>
          <w:ilvl w:val="0"/>
          <w:numId w:val="11"/>
        </w:numPr>
      </w:pPr>
      <w:r>
        <w:t>Burdekin Regional Council</w:t>
      </w:r>
    </w:p>
    <w:p w14:paraId="26AF383B" w14:textId="77777777" w:rsidR="00266BCE" w:rsidRDefault="00266BCE" w:rsidP="00266BCE">
      <w:pPr>
        <w:pStyle w:val="ListParagraph"/>
        <w:numPr>
          <w:ilvl w:val="0"/>
          <w:numId w:val="11"/>
        </w:numPr>
      </w:pPr>
      <w:r>
        <w:t>Cairns Regional Council</w:t>
      </w:r>
    </w:p>
    <w:p w14:paraId="2B0D054E" w14:textId="77777777" w:rsidR="00266BCE" w:rsidRDefault="00266BCE" w:rsidP="00266BCE">
      <w:pPr>
        <w:pStyle w:val="ListParagraph"/>
        <w:numPr>
          <w:ilvl w:val="0"/>
          <w:numId w:val="11"/>
        </w:numPr>
      </w:pPr>
      <w:r>
        <w:t>Goondiwindi Regional Council</w:t>
      </w:r>
    </w:p>
    <w:p w14:paraId="2D913AF5" w14:textId="77777777" w:rsidR="00266BCE" w:rsidRDefault="00266BCE" w:rsidP="00266BCE">
      <w:pPr>
        <w:pStyle w:val="ListParagraph"/>
        <w:numPr>
          <w:ilvl w:val="0"/>
          <w:numId w:val="11"/>
        </w:numPr>
      </w:pPr>
      <w:r>
        <w:t>Isaac Regional Council</w:t>
      </w:r>
    </w:p>
    <w:p w14:paraId="378F96A1" w14:textId="77777777" w:rsidR="00266BCE" w:rsidRDefault="00266BCE" w:rsidP="00266BCE">
      <w:pPr>
        <w:pStyle w:val="ListParagraph"/>
        <w:numPr>
          <w:ilvl w:val="0"/>
          <w:numId w:val="11"/>
        </w:numPr>
      </w:pPr>
      <w:r>
        <w:t>Logan City Council</w:t>
      </w:r>
    </w:p>
    <w:p w14:paraId="79A21759" w14:textId="77777777" w:rsidR="00266BCE" w:rsidRDefault="00266BCE">
      <w:pPr>
        <w:rPr>
          <w:rFonts w:asciiTheme="majorHAnsi" w:eastAsiaTheme="majorEastAsia" w:hAnsiTheme="majorHAnsi" w:cstheme="majorBidi"/>
          <w:b/>
          <w:bCs/>
          <w:color w:val="2F5496" w:themeColor="accent1" w:themeShade="BF"/>
          <w:sz w:val="32"/>
          <w:szCs w:val="32"/>
        </w:rPr>
      </w:pPr>
      <w:r>
        <w:rPr>
          <w:b/>
          <w:bCs/>
        </w:rPr>
        <w:br w:type="page"/>
      </w:r>
    </w:p>
    <w:p w14:paraId="080D5950" w14:textId="70AC30E1" w:rsidR="00C63486" w:rsidRDefault="00B7281E" w:rsidP="000B6362">
      <w:pPr>
        <w:pStyle w:val="Heading1"/>
        <w:jc w:val="center"/>
        <w:rPr>
          <w:b/>
          <w:bCs/>
        </w:rPr>
      </w:pPr>
      <w:r w:rsidRPr="00B7281E">
        <w:rPr>
          <w:b/>
          <w:bCs/>
        </w:rPr>
        <w:lastRenderedPageBreak/>
        <w:t>TEMP</w:t>
      </w:r>
      <w:r w:rsidR="00E245B1">
        <w:rPr>
          <w:b/>
          <w:bCs/>
        </w:rPr>
        <w:t>L</w:t>
      </w:r>
      <w:r w:rsidRPr="00B7281E">
        <w:rPr>
          <w:b/>
          <w:bCs/>
        </w:rPr>
        <w:t>ATE</w:t>
      </w:r>
    </w:p>
    <w:p w14:paraId="50DE1B55" w14:textId="4A7A874F" w:rsidR="00A95E93" w:rsidRPr="00CF6A90" w:rsidRDefault="00A95E93" w:rsidP="00541AE2">
      <w:pPr>
        <w:pStyle w:val="Header"/>
        <w:pBdr>
          <w:bottom w:val="single" w:sz="4" w:space="1" w:color="auto"/>
        </w:pBdr>
        <w:jc w:val="center"/>
        <w:rPr>
          <w:sz w:val="16"/>
          <w:szCs w:val="16"/>
        </w:rPr>
      </w:pPr>
      <w:r>
        <w:rPr>
          <w:sz w:val="16"/>
          <w:szCs w:val="16"/>
        </w:rPr>
        <w:t xml:space="preserve">It is acknowledged that </w:t>
      </w:r>
      <w:r w:rsidRPr="00CF6A90">
        <w:rPr>
          <w:sz w:val="16"/>
          <w:szCs w:val="16"/>
        </w:rPr>
        <w:t>Council</w:t>
      </w:r>
      <w:r>
        <w:rPr>
          <w:sz w:val="16"/>
          <w:szCs w:val="16"/>
        </w:rPr>
        <w:t>s</w:t>
      </w:r>
      <w:r w:rsidRPr="00CF6A90">
        <w:rPr>
          <w:sz w:val="16"/>
          <w:szCs w:val="16"/>
        </w:rPr>
        <w:t xml:space="preserve"> </w:t>
      </w:r>
      <w:r>
        <w:rPr>
          <w:sz w:val="16"/>
          <w:szCs w:val="16"/>
        </w:rPr>
        <w:t xml:space="preserve">will format to </w:t>
      </w:r>
      <w:r w:rsidRPr="00CF6A90">
        <w:rPr>
          <w:sz w:val="16"/>
          <w:szCs w:val="16"/>
        </w:rPr>
        <w:t xml:space="preserve">their own inhouse style </w:t>
      </w:r>
      <w:r>
        <w:rPr>
          <w:sz w:val="16"/>
          <w:szCs w:val="16"/>
        </w:rPr>
        <w:t>guide</w:t>
      </w:r>
      <w:r w:rsidRPr="00CF6A90">
        <w:rPr>
          <w:sz w:val="16"/>
          <w:szCs w:val="16"/>
        </w:rPr>
        <w:t xml:space="preserve"> when converting </w:t>
      </w:r>
      <w:r>
        <w:rPr>
          <w:sz w:val="16"/>
          <w:szCs w:val="16"/>
        </w:rPr>
        <w:t>this template</w:t>
      </w:r>
      <w:r w:rsidRPr="00CF6A90">
        <w:rPr>
          <w:sz w:val="16"/>
          <w:szCs w:val="16"/>
        </w:rPr>
        <w:t xml:space="preserve"> into their Policy</w:t>
      </w:r>
      <w:r w:rsidR="00541AE2">
        <w:rPr>
          <w:sz w:val="16"/>
          <w:szCs w:val="16"/>
        </w:rPr>
        <w:t xml:space="preserve"> or Document Management </w:t>
      </w:r>
      <w:r w:rsidRPr="00CF6A90">
        <w:rPr>
          <w:sz w:val="16"/>
          <w:szCs w:val="16"/>
        </w:rPr>
        <w:t>Framework</w:t>
      </w:r>
    </w:p>
    <w:p w14:paraId="13A4BF54" w14:textId="39013DB6" w:rsidR="000B6362" w:rsidRDefault="000B6362" w:rsidP="000B6362">
      <w:pPr>
        <w:pStyle w:val="Heading1"/>
        <w:rPr>
          <w:b/>
          <w:bCs/>
        </w:rPr>
      </w:pPr>
      <w:r>
        <w:rPr>
          <w:b/>
          <w:bCs/>
        </w:rPr>
        <w:t>COMPETITIVE NEUTRALITY COMPLAINTS</w:t>
      </w:r>
      <w:r w:rsidRPr="000B6362">
        <w:rPr>
          <w:b/>
          <w:bCs/>
          <w:color w:val="ED7D31" w:themeColor="accent2"/>
        </w:rPr>
        <w:t xml:space="preserve"> &lt;POLICY/PROCESS&gt;</w:t>
      </w:r>
    </w:p>
    <w:tbl>
      <w:tblPr>
        <w:tblStyle w:val="TableGrid"/>
        <w:tblW w:w="0" w:type="auto"/>
        <w:tblLook w:val="04A0" w:firstRow="1" w:lastRow="0" w:firstColumn="1" w:lastColumn="0" w:noHBand="0" w:noVBand="1"/>
      </w:tblPr>
      <w:tblGrid>
        <w:gridCol w:w="2254"/>
        <w:gridCol w:w="2986"/>
        <w:gridCol w:w="1522"/>
        <w:gridCol w:w="2254"/>
      </w:tblGrid>
      <w:tr w:rsidR="00A95E93" w:rsidRPr="00590ED7" w14:paraId="50D04412" w14:textId="77777777" w:rsidTr="00B91899">
        <w:tc>
          <w:tcPr>
            <w:tcW w:w="2254" w:type="dxa"/>
          </w:tcPr>
          <w:p w14:paraId="49945C6E" w14:textId="77777777" w:rsidR="00A95E93" w:rsidRPr="00590ED7" w:rsidRDefault="00A95E93" w:rsidP="00B91899">
            <w:pPr>
              <w:rPr>
                <w:b/>
                <w:bCs/>
                <w:sz w:val="24"/>
                <w:szCs w:val="24"/>
              </w:rPr>
            </w:pPr>
            <w:r w:rsidRPr="00A95E93">
              <w:rPr>
                <w:b/>
                <w:bCs/>
                <w:color w:val="ED7D31" w:themeColor="accent2"/>
                <w:sz w:val="24"/>
                <w:szCs w:val="24"/>
              </w:rPr>
              <w:t xml:space="preserve">Policy </w:t>
            </w:r>
            <w:r w:rsidRPr="00590ED7">
              <w:rPr>
                <w:b/>
                <w:bCs/>
                <w:sz w:val="24"/>
                <w:szCs w:val="24"/>
              </w:rPr>
              <w:t>Number</w:t>
            </w:r>
          </w:p>
        </w:tc>
        <w:tc>
          <w:tcPr>
            <w:tcW w:w="2986" w:type="dxa"/>
          </w:tcPr>
          <w:p w14:paraId="5BAAB8BB" w14:textId="77777777" w:rsidR="00A95E93" w:rsidRPr="00590ED7" w:rsidRDefault="00A95E93" w:rsidP="00B91899">
            <w:pPr>
              <w:rPr>
                <w:sz w:val="24"/>
                <w:szCs w:val="24"/>
              </w:rPr>
            </w:pPr>
          </w:p>
        </w:tc>
        <w:tc>
          <w:tcPr>
            <w:tcW w:w="1522" w:type="dxa"/>
          </w:tcPr>
          <w:p w14:paraId="3F7DD6CB" w14:textId="77777777" w:rsidR="00A95E93" w:rsidRPr="00590ED7" w:rsidRDefault="00A95E93" w:rsidP="00B91899">
            <w:pPr>
              <w:rPr>
                <w:b/>
                <w:bCs/>
                <w:sz w:val="24"/>
                <w:szCs w:val="24"/>
              </w:rPr>
            </w:pPr>
            <w:r w:rsidRPr="00590ED7">
              <w:rPr>
                <w:b/>
                <w:bCs/>
                <w:sz w:val="24"/>
                <w:szCs w:val="24"/>
              </w:rPr>
              <w:t>Doc.ID</w:t>
            </w:r>
          </w:p>
        </w:tc>
        <w:tc>
          <w:tcPr>
            <w:tcW w:w="2254" w:type="dxa"/>
          </w:tcPr>
          <w:p w14:paraId="59A6030F" w14:textId="77777777" w:rsidR="00A95E93" w:rsidRPr="00590ED7" w:rsidRDefault="00A95E93" w:rsidP="00B91899">
            <w:pPr>
              <w:rPr>
                <w:sz w:val="24"/>
                <w:szCs w:val="24"/>
              </w:rPr>
            </w:pPr>
          </w:p>
        </w:tc>
      </w:tr>
      <w:tr w:rsidR="00A95E93" w:rsidRPr="00590ED7" w14:paraId="3BA8B294" w14:textId="77777777" w:rsidTr="00B91899">
        <w:tc>
          <w:tcPr>
            <w:tcW w:w="2254" w:type="dxa"/>
          </w:tcPr>
          <w:p w14:paraId="60D03669" w14:textId="77777777" w:rsidR="00A95E93" w:rsidRPr="00590ED7" w:rsidRDefault="00A95E93" w:rsidP="00B91899">
            <w:pPr>
              <w:rPr>
                <w:b/>
                <w:bCs/>
                <w:sz w:val="24"/>
                <w:szCs w:val="24"/>
              </w:rPr>
            </w:pPr>
            <w:r w:rsidRPr="00590ED7">
              <w:rPr>
                <w:b/>
                <w:bCs/>
                <w:sz w:val="24"/>
                <w:szCs w:val="24"/>
              </w:rPr>
              <w:t>Policy Type:</w:t>
            </w:r>
          </w:p>
        </w:tc>
        <w:tc>
          <w:tcPr>
            <w:tcW w:w="6762" w:type="dxa"/>
            <w:gridSpan w:val="3"/>
          </w:tcPr>
          <w:p w14:paraId="2EC44C1D" w14:textId="1501C6E9" w:rsidR="00A95E93" w:rsidRPr="00590ED7" w:rsidRDefault="00A95E93" w:rsidP="00B91899">
            <w:pPr>
              <w:rPr>
                <w:sz w:val="24"/>
                <w:szCs w:val="24"/>
              </w:rPr>
            </w:pPr>
          </w:p>
        </w:tc>
      </w:tr>
      <w:tr w:rsidR="00A95E93" w:rsidRPr="00590ED7" w14:paraId="333C0840" w14:textId="77777777" w:rsidTr="00B91899">
        <w:tc>
          <w:tcPr>
            <w:tcW w:w="2254" w:type="dxa"/>
          </w:tcPr>
          <w:p w14:paraId="51D79A87" w14:textId="77777777" w:rsidR="00A95E93" w:rsidRPr="00590ED7" w:rsidRDefault="00A95E93" w:rsidP="00B91899">
            <w:pPr>
              <w:rPr>
                <w:b/>
                <w:bCs/>
                <w:sz w:val="24"/>
                <w:szCs w:val="24"/>
              </w:rPr>
            </w:pPr>
            <w:r w:rsidRPr="00590ED7">
              <w:rPr>
                <w:b/>
                <w:bCs/>
                <w:sz w:val="24"/>
                <w:szCs w:val="24"/>
              </w:rPr>
              <w:t>Policy Owner</w:t>
            </w:r>
          </w:p>
        </w:tc>
        <w:tc>
          <w:tcPr>
            <w:tcW w:w="6762" w:type="dxa"/>
            <w:gridSpan w:val="3"/>
          </w:tcPr>
          <w:p w14:paraId="575000D0" w14:textId="77777777" w:rsidR="00A95E93" w:rsidRPr="00590ED7" w:rsidRDefault="00A95E93" w:rsidP="00B91899">
            <w:pPr>
              <w:rPr>
                <w:sz w:val="24"/>
                <w:szCs w:val="24"/>
              </w:rPr>
            </w:pPr>
          </w:p>
        </w:tc>
      </w:tr>
      <w:tr w:rsidR="00A95E93" w:rsidRPr="00590ED7" w14:paraId="7FCAB650" w14:textId="77777777" w:rsidTr="00B91899">
        <w:tc>
          <w:tcPr>
            <w:tcW w:w="2254" w:type="dxa"/>
          </w:tcPr>
          <w:p w14:paraId="21154D2D" w14:textId="77777777" w:rsidR="00A95E93" w:rsidRPr="00590ED7" w:rsidRDefault="00A95E93" w:rsidP="00B91899">
            <w:pPr>
              <w:rPr>
                <w:b/>
                <w:bCs/>
                <w:sz w:val="24"/>
                <w:szCs w:val="24"/>
              </w:rPr>
            </w:pPr>
            <w:r w:rsidRPr="00590ED7">
              <w:rPr>
                <w:b/>
                <w:bCs/>
                <w:sz w:val="24"/>
                <w:szCs w:val="24"/>
              </w:rPr>
              <w:t>Approval Authority</w:t>
            </w:r>
          </w:p>
        </w:tc>
        <w:tc>
          <w:tcPr>
            <w:tcW w:w="6762" w:type="dxa"/>
            <w:gridSpan w:val="3"/>
          </w:tcPr>
          <w:p w14:paraId="493E8D97" w14:textId="0E3C3858" w:rsidR="00A95E93" w:rsidRPr="00590ED7" w:rsidRDefault="00A95E93" w:rsidP="00B91899">
            <w:pPr>
              <w:rPr>
                <w:sz w:val="24"/>
                <w:szCs w:val="24"/>
              </w:rPr>
            </w:pPr>
            <w:r w:rsidRPr="00590ED7">
              <w:rPr>
                <w:sz w:val="24"/>
                <w:szCs w:val="24"/>
              </w:rPr>
              <w:t xml:space="preserve">Council </w:t>
            </w:r>
          </w:p>
        </w:tc>
      </w:tr>
      <w:tr w:rsidR="00A95E93" w:rsidRPr="00590ED7" w14:paraId="463E7EB9" w14:textId="77777777" w:rsidTr="00B91899">
        <w:tc>
          <w:tcPr>
            <w:tcW w:w="2254" w:type="dxa"/>
          </w:tcPr>
          <w:p w14:paraId="1EC120D0" w14:textId="77777777" w:rsidR="00A95E93" w:rsidRPr="00590ED7" w:rsidRDefault="00A95E93" w:rsidP="00B91899">
            <w:pPr>
              <w:rPr>
                <w:b/>
                <w:bCs/>
                <w:sz w:val="24"/>
                <w:szCs w:val="24"/>
              </w:rPr>
            </w:pPr>
            <w:r w:rsidRPr="00590ED7">
              <w:rPr>
                <w:b/>
                <w:bCs/>
                <w:sz w:val="24"/>
                <w:szCs w:val="24"/>
              </w:rPr>
              <w:t>Approval Date</w:t>
            </w:r>
          </w:p>
        </w:tc>
        <w:tc>
          <w:tcPr>
            <w:tcW w:w="2986" w:type="dxa"/>
          </w:tcPr>
          <w:p w14:paraId="721487E1" w14:textId="77777777" w:rsidR="00A95E93" w:rsidRPr="00590ED7" w:rsidRDefault="00A95E93" w:rsidP="00B91899">
            <w:pPr>
              <w:rPr>
                <w:sz w:val="24"/>
                <w:szCs w:val="24"/>
              </w:rPr>
            </w:pPr>
          </w:p>
        </w:tc>
        <w:tc>
          <w:tcPr>
            <w:tcW w:w="1522" w:type="dxa"/>
          </w:tcPr>
          <w:p w14:paraId="18ADA50C" w14:textId="77777777" w:rsidR="00A95E93" w:rsidRPr="00590ED7" w:rsidRDefault="00A95E93" w:rsidP="00B91899">
            <w:pPr>
              <w:rPr>
                <w:b/>
                <w:bCs/>
                <w:sz w:val="24"/>
                <w:szCs w:val="24"/>
              </w:rPr>
            </w:pPr>
            <w:r w:rsidRPr="00590ED7">
              <w:rPr>
                <w:b/>
                <w:bCs/>
                <w:sz w:val="24"/>
                <w:szCs w:val="24"/>
              </w:rPr>
              <w:t>Resolution Number</w:t>
            </w:r>
          </w:p>
        </w:tc>
        <w:tc>
          <w:tcPr>
            <w:tcW w:w="2254" w:type="dxa"/>
          </w:tcPr>
          <w:p w14:paraId="58A17CD3" w14:textId="77777777" w:rsidR="00A95E93" w:rsidRPr="00590ED7" w:rsidRDefault="00A95E93" w:rsidP="00B91899">
            <w:pPr>
              <w:rPr>
                <w:sz w:val="24"/>
                <w:szCs w:val="24"/>
              </w:rPr>
            </w:pPr>
          </w:p>
        </w:tc>
      </w:tr>
    </w:tbl>
    <w:p w14:paraId="11947D47" w14:textId="44B06B9B" w:rsidR="002572F8" w:rsidRDefault="002572F8" w:rsidP="002572F8">
      <w:pPr>
        <w:pStyle w:val="Heading1"/>
      </w:pPr>
      <w:r>
        <w:t>Purpose</w:t>
      </w:r>
    </w:p>
    <w:p w14:paraId="3F1CF818" w14:textId="10FCF90A" w:rsidR="002572F8" w:rsidRPr="00173537" w:rsidRDefault="002572F8" w:rsidP="00BA723E">
      <w:r>
        <w:t xml:space="preserve">This </w:t>
      </w:r>
      <w:r w:rsidRPr="002572F8">
        <w:rPr>
          <w:color w:val="ED7D31" w:themeColor="accent2"/>
        </w:rPr>
        <w:t>&lt;policy/procedure&gt;</w:t>
      </w:r>
      <w:r>
        <w:t xml:space="preserve"> establishes a process for </w:t>
      </w:r>
      <w:r w:rsidR="00173537">
        <w:t xml:space="preserve">receiving, </w:t>
      </w:r>
      <w:r>
        <w:t xml:space="preserve">managing </w:t>
      </w:r>
      <w:r w:rsidR="00173537">
        <w:t xml:space="preserve">and resolving </w:t>
      </w:r>
      <w:r>
        <w:t xml:space="preserve">competitive neutrality complaints </w:t>
      </w:r>
      <w:r w:rsidR="00173537">
        <w:t xml:space="preserve">made, </w:t>
      </w:r>
      <w:r>
        <w:t>by affected persons</w:t>
      </w:r>
      <w:r w:rsidR="00173537">
        <w:t>,</w:t>
      </w:r>
      <w:r>
        <w:t xml:space="preserve"> in accordance with section </w:t>
      </w:r>
      <w:r w:rsidR="000B6362">
        <w:t>48</w:t>
      </w:r>
      <w:r>
        <w:t xml:space="preserve"> of the </w:t>
      </w:r>
      <w:r w:rsidRPr="00A70901">
        <w:rPr>
          <w:i/>
          <w:iCs/>
        </w:rPr>
        <w:t>Local Government Act 2009</w:t>
      </w:r>
      <w:r w:rsidR="000B6362">
        <w:t xml:space="preserve"> (LGA)</w:t>
      </w:r>
      <w:r w:rsidR="00A70901">
        <w:rPr>
          <w:i/>
          <w:iCs/>
        </w:rPr>
        <w:t>.</w:t>
      </w:r>
    </w:p>
    <w:p w14:paraId="6AAE968D" w14:textId="1B038222" w:rsidR="002572F8" w:rsidRDefault="002572F8" w:rsidP="002572F8">
      <w:pPr>
        <w:pStyle w:val="Heading1"/>
      </w:pPr>
      <w:r>
        <w:t>Scope</w:t>
      </w:r>
    </w:p>
    <w:p w14:paraId="59A7423F" w14:textId="77777777" w:rsidR="002572F8" w:rsidRDefault="002572F8" w:rsidP="002572F8">
      <w:r>
        <w:t xml:space="preserve">The </w:t>
      </w:r>
      <w:r w:rsidRPr="002572F8">
        <w:rPr>
          <w:color w:val="ED7D31" w:themeColor="accent2"/>
        </w:rPr>
        <w:t>&lt;policy/procedure&gt;</w:t>
      </w:r>
      <w:r>
        <w:t xml:space="preserve"> applies to:</w:t>
      </w:r>
    </w:p>
    <w:p w14:paraId="3A410020" w14:textId="601E33B1" w:rsidR="002572F8" w:rsidRDefault="002572F8" w:rsidP="002572F8">
      <w:pPr>
        <w:pStyle w:val="ListParagraph"/>
        <w:numPr>
          <w:ilvl w:val="0"/>
          <w:numId w:val="13"/>
        </w:numPr>
      </w:pPr>
      <w:r>
        <w:t>complaints regarding business activities undertaken by Council where someone has claimed to be adversely affected by a competitive advantage allegedly enjoyed by Council</w:t>
      </w:r>
      <w:r w:rsidR="00A70901">
        <w:t xml:space="preserve"> (affected person/s)</w:t>
      </w:r>
      <w:r>
        <w:t>;</w:t>
      </w:r>
    </w:p>
    <w:p w14:paraId="4295ED9E" w14:textId="65CB8C97" w:rsidR="002572F8" w:rsidRDefault="002572F8" w:rsidP="002572F8">
      <w:pPr>
        <w:pStyle w:val="ListParagraph"/>
        <w:numPr>
          <w:ilvl w:val="0"/>
          <w:numId w:val="13"/>
        </w:numPr>
      </w:pPr>
      <w:r>
        <w:t>business activities undertaken by Council</w:t>
      </w:r>
      <w:r w:rsidR="00A70901">
        <w:t>, in relation to the application of competitive neutrality principles</w:t>
      </w:r>
      <w:r w:rsidR="003A39E2">
        <w:t>.</w:t>
      </w:r>
    </w:p>
    <w:p w14:paraId="75E54F60" w14:textId="6F47E1C6" w:rsidR="002572F8" w:rsidRDefault="002572F8" w:rsidP="002572F8">
      <w:pPr>
        <w:pStyle w:val="Heading1"/>
      </w:pPr>
      <w:r>
        <w:t>Definitions</w:t>
      </w:r>
    </w:p>
    <w:tbl>
      <w:tblPr>
        <w:tblStyle w:val="TableGrid"/>
        <w:tblW w:w="0" w:type="auto"/>
        <w:tblLook w:val="04A0" w:firstRow="1" w:lastRow="0" w:firstColumn="1" w:lastColumn="0" w:noHBand="0" w:noVBand="1"/>
      </w:tblPr>
      <w:tblGrid>
        <w:gridCol w:w="2547"/>
        <w:gridCol w:w="6469"/>
      </w:tblGrid>
      <w:tr w:rsidR="002572F8" w:rsidRPr="002572F8" w14:paraId="322E946B" w14:textId="77777777" w:rsidTr="005E4710">
        <w:trPr>
          <w:tblHeader/>
        </w:trPr>
        <w:tc>
          <w:tcPr>
            <w:tcW w:w="2547" w:type="dxa"/>
          </w:tcPr>
          <w:p w14:paraId="5075A2DD" w14:textId="618C9AFB" w:rsidR="002572F8" w:rsidRPr="002572F8" w:rsidRDefault="002572F8" w:rsidP="002572F8">
            <w:pPr>
              <w:rPr>
                <w:b/>
                <w:bCs/>
              </w:rPr>
            </w:pPr>
            <w:r w:rsidRPr="002572F8">
              <w:rPr>
                <w:b/>
                <w:bCs/>
              </w:rPr>
              <w:t>TERM</w:t>
            </w:r>
          </w:p>
        </w:tc>
        <w:tc>
          <w:tcPr>
            <w:tcW w:w="6469" w:type="dxa"/>
          </w:tcPr>
          <w:p w14:paraId="4BF5DD10" w14:textId="4AAF7D4A" w:rsidR="002572F8" w:rsidRPr="002572F8" w:rsidRDefault="002572F8" w:rsidP="002572F8">
            <w:pPr>
              <w:rPr>
                <w:b/>
                <w:bCs/>
              </w:rPr>
            </w:pPr>
            <w:r w:rsidRPr="002572F8">
              <w:rPr>
                <w:b/>
                <w:bCs/>
              </w:rPr>
              <w:t>DEFIN</w:t>
            </w:r>
            <w:r w:rsidR="005E4710">
              <w:rPr>
                <w:b/>
                <w:bCs/>
              </w:rPr>
              <w:t>I</w:t>
            </w:r>
            <w:r w:rsidRPr="002572F8">
              <w:rPr>
                <w:b/>
                <w:bCs/>
              </w:rPr>
              <w:t>TION</w:t>
            </w:r>
          </w:p>
        </w:tc>
      </w:tr>
      <w:tr w:rsidR="002572F8" w14:paraId="274A8EB3" w14:textId="77777777" w:rsidTr="002572F8">
        <w:tc>
          <w:tcPr>
            <w:tcW w:w="2547" w:type="dxa"/>
          </w:tcPr>
          <w:p w14:paraId="40008C09" w14:textId="6C433A23" w:rsidR="002572F8" w:rsidRDefault="002572F8" w:rsidP="002572F8">
            <w:r>
              <w:t>Affected person</w:t>
            </w:r>
            <w:r w:rsidR="00A70901">
              <w:t>/s</w:t>
            </w:r>
          </w:p>
        </w:tc>
        <w:tc>
          <w:tcPr>
            <w:tcW w:w="6469" w:type="dxa"/>
          </w:tcPr>
          <w:p w14:paraId="740239FB" w14:textId="77777777" w:rsidR="00A70901" w:rsidRDefault="00A70901" w:rsidP="002572F8">
            <w:r>
              <w:t xml:space="preserve">a) a person who: </w:t>
            </w:r>
          </w:p>
          <w:p w14:paraId="3CEEBC56" w14:textId="166DA41B" w:rsidR="00A70901" w:rsidRDefault="00A70901" w:rsidP="009A4CB9">
            <w:pPr>
              <w:ind w:left="465" w:hanging="284"/>
            </w:pPr>
            <w:r>
              <w:t>(i)</w:t>
            </w:r>
            <w:r w:rsidR="009A4CB9">
              <w:tab/>
            </w:r>
            <w:r>
              <w:t>competes with the local government in relation to the business activity</w:t>
            </w:r>
            <w:r w:rsidR="009A4CB9">
              <w:t>; and</w:t>
            </w:r>
            <w:r>
              <w:t xml:space="preserve"> </w:t>
            </w:r>
          </w:p>
          <w:p w14:paraId="1FF1F09B" w14:textId="62AE9ED0" w:rsidR="00A70901" w:rsidRDefault="00A70901" w:rsidP="009A4CB9">
            <w:pPr>
              <w:ind w:left="465" w:hanging="284"/>
            </w:pPr>
            <w:r>
              <w:t>(ii)</w:t>
            </w:r>
            <w:r w:rsidR="009A4CB9">
              <w:tab/>
            </w:r>
            <w:r>
              <w:t xml:space="preserve">claims to be adversely affected by a competitive advantage that the person alleges is enjoyed by the local government; </w:t>
            </w:r>
          </w:p>
          <w:p w14:paraId="1473A12E" w14:textId="77777777" w:rsidR="00A70901" w:rsidRDefault="00A70901" w:rsidP="009A4CB9">
            <w:pPr>
              <w:ind w:left="465" w:hanging="284"/>
            </w:pPr>
            <w:r>
              <w:t xml:space="preserve">or </w:t>
            </w:r>
          </w:p>
          <w:p w14:paraId="65AAC122" w14:textId="77777777" w:rsidR="00A70901" w:rsidRDefault="00A70901" w:rsidP="002572F8">
            <w:r>
              <w:t xml:space="preserve">(b) a person who: </w:t>
            </w:r>
          </w:p>
          <w:p w14:paraId="000D5A35" w14:textId="2B7B03F4" w:rsidR="00A70901" w:rsidRDefault="00A70901" w:rsidP="009A4CB9">
            <w:pPr>
              <w:ind w:left="465" w:hanging="284"/>
            </w:pPr>
            <w:r>
              <w:t>(i)</w:t>
            </w:r>
            <w:r w:rsidR="009A4CB9">
              <w:tab/>
            </w:r>
            <w:r>
              <w:t>wants to compete with the local government in relation to the business activity</w:t>
            </w:r>
            <w:r w:rsidR="009A4CB9">
              <w:t>; and</w:t>
            </w:r>
          </w:p>
          <w:p w14:paraId="0B2DD54C" w14:textId="77777777" w:rsidR="002572F8" w:rsidRDefault="00A70901" w:rsidP="009A4CB9">
            <w:pPr>
              <w:ind w:left="465" w:hanging="284"/>
            </w:pPr>
            <w:r>
              <w:t>(ii) claims to be hindered from doing so by a competitive advantage that the person alleges is enjoyed by the local government.</w:t>
            </w:r>
          </w:p>
          <w:p w14:paraId="700913D4" w14:textId="25170258" w:rsidR="00A70901" w:rsidRDefault="00A70901" w:rsidP="009A4CB9">
            <w:pPr>
              <w:ind w:left="40"/>
            </w:pPr>
            <w:r>
              <w:t>S48(3) of the LGA</w:t>
            </w:r>
          </w:p>
        </w:tc>
      </w:tr>
      <w:tr w:rsidR="006C4E42" w14:paraId="7949C1B3" w14:textId="77777777" w:rsidTr="002572F8">
        <w:tc>
          <w:tcPr>
            <w:tcW w:w="2547" w:type="dxa"/>
          </w:tcPr>
          <w:p w14:paraId="58DAC875" w14:textId="73A7BC2A" w:rsidR="006C4E42" w:rsidRDefault="006C4E42" w:rsidP="002572F8">
            <w:r>
              <w:t>Business activity</w:t>
            </w:r>
          </w:p>
        </w:tc>
        <w:tc>
          <w:tcPr>
            <w:tcW w:w="6469" w:type="dxa"/>
          </w:tcPr>
          <w:p w14:paraId="5C490B77" w14:textId="29FFF44D" w:rsidR="006C4E42" w:rsidRPr="006C4E42" w:rsidRDefault="00461DAF" w:rsidP="002572F8">
            <w:r>
              <w:rPr>
                <w:color w:val="000000"/>
                <w:shd w:val="clear" w:color="auto" w:fill="FFFFFF"/>
              </w:rPr>
              <w:t>T</w:t>
            </w:r>
            <w:r w:rsidR="006C4E42" w:rsidRPr="006C4E42">
              <w:rPr>
                <w:color w:val="000000"/>
                <w:shd w:val="clear" w:color="auto" w:fill="FFFFFF"/>
              </w:rPr>
              <w:t>rading in goods and services by the local government</w:t>
            </w:r>
          </w:p>
        </w:tc>
      </w:tr>
      <w:tr w:rsidR="00147354" w14:paraId="1C3AD0AA" w14:textId="77777777" w:rsidTr="002572F8">
        <w:tc>
          <w:tcPr>
            <w:tcW w:w="2547" w:type="dxa"/>
          </w:tcPr>
          <w:p w14:paraId="4366ECA9" w14:textId="34CAF40D" w:rsidR="00147354" w:rsidRDefault="00147354" w:rsidP="002572F8">
            <w:r>
              <w:t>Competitive advantage (or disadvantage)</w:t>
            </w:r>
          </w:p>
        </w:tc>
        <w:tc>
          <w:tcPr>
            <w:tcW w:w="6469" w:type="dxa"/>
          </w:tcPr>
          <w:p w14:paraId="65DBAC3F" w14:textId="77777777" w:rsidR="00147354" w:rsidRDefault="00B830DB" w:rsidP="002572F8">
            <w:r>
              <w:t>Competitive advantage may include financial advantages, procedural advantages or regulatory advantages:</w:t>
            </w:r>
          </w:p>
          <w:p w14:paraId="35DAFA1A" w14:textId="5832EC89" w:rsidR="00B830DB" w:rsidRPr="00B830DB" w:rsidRDefault="00B830DB" w:rsidP="00B830DB">
            <w:pPr>
              <w:pStyle w:val="ListParagraph"/>
              <w:numPr>
                <w:ilvl w:val="0"/>
                <w:numId w:val="15"/>
              </w:numPr>
            </w:pPr>
            <w:r w:rsidRPr="00B830DB">
              <w:t>financial advantages—</w:t>
            </w:r>
            <w:r>
              <w:t xml:space="preserve">e.g. </w:t>
            </w:r>
            <w:r w:rsidRPr="00B830DB">
              <w:t xml:space="preserve">where a government business has an exemption from paying a tax, does not have to earn profits that reflect those market competitors need to earn2, or has access to less expensive funds because of an implicit or explicit government guarantee </w:t>
            </w:r>
          </w:p>
          <w:p w14:paraId="2CB98B5E" w14:textId="42323CC0" w:rsidR="00B830DB" w:rsidRPr="00B830DB" w:rsidRDefault="00B830DB" w:rsidP="00B830DB">
            <w:pPr>
              <w:pStyle w:val="ListParagraph"/>
              <w:numPr>
                <w:ilvl w:val="0"/>
                <w:numId w:val="15"/>
              </w:numPr>
            </w:pPr>
            <w:r w:rsidRPr="00B830DB">
              <w:lastRenderedPageBreak/>
              <w:t>regulatory advantages—</w:t>
            </w:r>
            <w:r>
              <w:t>e.g.</w:t>
            </w:r>
            <w:r w:rsidRPr="00B830DB">
              <w:t xml:space="preserve"> where a government business has an exemption from complying with certain regulations that apply to private sector businesses (such as environmental regulations) </w:t>
            </w:r>
          </w:p>
          <w:p w14:paraId="5E91D8E6" w14:textId="10F68C79" w:rsidR="00B830DB" w:rsidRPr="00B830DB" w:rsidRDefault="00B830DB" w:rsidP="002572F8">
            <w:pPr>
              <w:pStyle w:val="ListParagraph"/>
              <w:numPr>
                <w:ilvl w:val="0"/>
                <w:numId w:val="15"/>
              </w:numPr>
              <w:rPr>
                <w:rFonts w:ascii="Calibri" w:hAnsi="Calibri" w:cs="Calibri"/>
                <w:color w:val="000000"/>
                <w:sz w:val="21"/>
                <w:szCs w:val="21"/>
              </w:rPr>
            </w:pPr>
            <w:r w:rsidRPr="00B830DB">
              <w:t>procedural</w:t>
            </w:r>
            <w:r w:rsidRPr="00B830DB">
              <w:rPr>
                <w:rFonts w:ascii="Calibri" w:hAnsi="Calibri" w:cs="Calibri"/>
                <w:color w:val="000000"/>
                <w:sz w:val="21"/>
                <w:szCs w:val="21"/>
              </w:rPr>
              <w:t xml:space="preserve"> advantages—</w:t>
            </w:r>
            <w:r>
              <w:rPr>
                <w:rFonts w:ascii="Calibri" w:hAnsi="Calibri" w:cs="Calibri"/>
                <w:color w:val="000000"/>
                <w:sz w:val="21"/>
                <w:szCs w:val="21"/>
              </w:rPr>
              <w:t>e.g.</w:t>
            </w:r>
            <w:r w:rsidRPr="00B830DB">
              <w:rPr>
                <w:rFonts w:ascii="Calibri" w:hAnsi="Calibri" w:cs="Calibri"/>
                <w:color w:val="000000"/>
                <w:sz w:val="21"/>
                <w:szCs w:val="21"/>
              </w:rPr>
              <w:t xml:space="preserve"> where a government business does not have to supply the same information for a government approval process as a private sector business (such as planning and approval processes). </w:t>
            </w:r>
          </w:p>
        </w:tc>
      </w:tr>
      <w:tr w:rsidR="00147354" w14:paraId="260A96B3" w14:textId="77777777" w:rsidTr="002572F8">
        <w:tc>
          <w:tcPr>
            <w:tcW w:w="2547" w:type="dxa"/>
          </w:tcPr>
          <w:p w14:paraId="274E0611" w14:textId="05832A89" w:rsidR="00147354" w:rsidRDefault="00147354" w:rsidP="002572F8">
            <w:r>
              <w:lastRenderedPageBreak/>
              <w:t>Competitive neutrality principle</w:t>
            </w:r>
          </w:p>
        </w:tc>
        <w:tc>
          <w:tcPr>
            <w:tcW w:w="6469" w:type="dxa"/>
          </w:tcPr>
          <w:p w14:paraId="1DA8BC91" w14:textId="77777777" w:rsidR="00147354" w:rsidRDefault="006D6CAA" w:rsidP="002572F8">
            <w:pPr>
              <w:rPr>
                <w:color w:val="000000"/>
                <w:shd w:val="clear" w:color="auto" w:fill="FFFFFF"/>
              </w:rPr>
            </w:pPr>
            <w:r>
              <w:rPr>
                <w:color w:val="000000"/>
                <w:shd w:val="clear" w:color="auto" w:fill="FFFFFF"/>
              </w:rPr>
              <w:t>An entity that is conducting a business activity in competition with the private sector should not enjoy a net advantage over competitors only because the entity is the public sector</w:t>
            </w:r>
          </w:p>
          <w:p w14:paraId="774B7D15" w14:textId="5C6981AD" w:rsidR="006D6CAA" w:rsidRDefault="006D6CAA" w:rsidP="002572F8">
            <w:pPr>
              <w:rPr>
                <w:color w:val="000000"/>
                <w:shd w:val="clear" w:color="auto" w:fill="FFFFFF"/>
              </w:rPr>
            </w:pPr>
            <w:r>
              <w:rPr>
                <w:color w:val="000000"/>
                <w:shd w:val="clear" w:color="auto" w:fill="FFFFFF"/>
              </w:rPr>
              <w:t>s43(3) of the LGA</w:t>
            </w:r>
          </w:p>
        </w:tc>
      </w:tr>
      <w:tr w:rsidR="002572F8" w14:paraId="2199DFD7" w14:textId="77777777" w:rsidTr="002572F8">
        <w:tc>
          <w:tcPr>
            <w:tcW w:w="2547" w:type="dxa"/>
          </w:tcPr>
          <w:p w14:paraId="7256493B" w14:textId="48A10668" w:rsidR="002572F8" w:rsidRDefault="002572F8" w:rsidP="002572F8">
            <w:r>
              <w:t>Council</w:t>
            </w:r>
          </w:p>
        </w:tc>
        <w:tc>
          <w:tcPr>
            <w:tcW w:w="6469" w:type="dxa"/>
          </w:tcPr>
          <w:p w14:paraId="73446314" w14:textId="2CD5DC2F" w:rsidR="002572F8" w:rsidRDefault="00A70901" w:rsidP="002572F8">
            <w:r w:rsidRPr="002572F8">
              <w:rPr>
                <w:color w:val="ED7D31" w:themeColor="accent2"/>
              </w:rPr>
              <w:t>&lt;</w:t>
            </w:r>
            <w:r>
              <w:rPr>
                <w:color w:val="ED7D31" w:themeColor="accent2"/>
              </w:rPr>
              <w:t>insert Council name&gt;</w:t>
            </w:r>
          </w:p>
        </w:tc>
      </w:tr>
      <w:tr w:rsidR="00A70901" w14:paraId="7EA2B94A" w14:textId="77777777" w:rsidTr="002572F8">
        <w:tc>
          <w:tcPr>
            <w:tcW w:w="2547" w:type="dxa"/>
          </w:tcPr>
          <w:p w14:paraId="7C44889C" w14:textId="318292E8" w:rsidR="00A70901" w:rsidRDefault="00A70901" w:rsidP="002572F8">
            <w:r>
              <w:t>LGA</w:t>
            </w:r>
          </w:p>
        </w:tc>
        <w:tc>
          <w:tcPr>
            <w:tcW w:w="6469" w:type="dxa"/>
          </w:tcPr>
          <w:p w14:paraId="6C39C0B4" w14:textId="7F78EA32" w:rsidR="00A70901" w:rsidRPr="00A70901" w:rsidRDefault="00A70901" w:rsidP="002572F8">
            <w:pPr>
              <w:rPr>
                <w:i/>
                <w:iCs/>
              </w:rPr>
            </w:pPr>
            <w:r w:rsidRPr="00A70901">
              <w:rPr>
                <w:i/>
                <w:iCs/>
              </w:rPr>
              <w:t>Local Government Act 2009</w:t>
            </w:r>
          </w:p>
        </w:tc>
      </w:tr>
      <w:tr w:rsidR="00E16207" w14:paraId="1336AD48" w14:textId="77777777" w:rsidTr="002572F8">
        <w:tc>
          <w:tcPr>
            <w:tcW w:w="2547" w:type="dxa"/>
          </w:tcPr>
          <w:p w14:paraId="30E0A8A3" w14:textId="521086D9" w:rsidR="00E16207" w:rsidRDefault="00E16207" w:rsidP="002572F8">
            <w:r>
              <w:t>LGR</w:t>
            </w:r>
          </w:p>
        </w:tc>
        <w:tc>
          <w:tcPr>
            <w:tcW w:w="6469" w:type="dxa"/>
          </w:tcPr>
          <w:p w14:paraId="35B24610" w14:textId="2EB90B5F" w:rsidR="00E16207" w:rsidRPr="00A70901" w:rsidRDefault="00E16207" w:rsidP="002572F8">
            <w:pPr>
              <w:rPr>
                <w:i/>
                <w:iCs/>
              </w:rPr>
            </w:pPr>
            <w:r>
              <w:rPr>
                <w:i/>
                <w:iCs/>
              </w:rPr>
              <w:t>Local Government Regulation 2012</w:t>
            </w:r>
          </w:p>
        </w:tc>
      </w:tr>
      <w:tr w:rsidR="00A70901" w:rsidRPr="0053304C" w14:paraId="3FF182AB" w14:textId="77777777" w:rsidTr="002572F8">
        <w:tc>
          <w:tcPr>
            <w:tcW w:w="2547" w:type="dxa"/>
          </w:tcPr>
          <w:p w14:paraId="69B9A484" w14:textId="1B265B02" w:rsidR="00A70901" w:rsidRPr="0053304C" w:rsidRDefault="0053304C" w:rsidP="002572F8">
            <w:pPr>
              <w:rPr>
                <w:color w:val="ED7D31" w:themeColor="accent2"/>
              </w:rPr>
            </w:pPr>
            <w:r w:rsidRPr="0053304C">
              <w:rPr>
                <w:color w:val="ED7D31" w:themeColor="accent2"/>
              </w:rPr>
              <w:t>Reviewing Officer</w:t>
            </w:r>
          </w:p>
        </w:tc>
        <w:tc>
          <w:tcPr>
            <w:tcW w:w="6469" w:type="dxa"/>
          </w:tcPr>
          <w:p w14:paraId="11E9586A" w14:textId="60227C28" w:rsidR="00A70901" w:rsidRPr="0053304C" w:rsidRDefault="00396F58" w:rsidP="002572F8">
            <w:pPr>
              <w:rPr>
                <w:color w:val="ED7D31" w:themeColor="accent2"/>
              </w:rPr>
            </w:pPr>
            <w:r>
              <w:rPr>
                <w:color w:val="ED7D31" w:themeColor="accent2"/>
              </w:rPr>
              <w:t>&lt;insert reviewing officer position title&gt;</w:t>
            </w:r>
          </w:p>
        </w:tc>
      </w:tr>
      <w:tr w:rsidR="006C4E42" w14:paraId="05371AA8" w14:textId="77777777" w:rsidTr="002572F8">
        <w:tc>
          <w:tcPr>
            <w:tcW w:w="2547" w:type="dxa"/>
          </w:tcPr>
          <w:p w14:paraId="3B3687FE" w14:textId="6C6378B0" w:rsidR="006C4E42" w:rsidRDefault="006C4E42" w:rsidP="002572F8">
            <w:r>
              <w:t>QCA</w:t>
            </w:r>
          </w:p>
        </w:tc>
        <w:tc>
          <w:tcPr>
            <w:tcW w:w="6469" w:type="dxa"/>
          </w:tcPr>
          <w:p w14:paraId="360BFEB4" w14:textId="58408AE6" w:rsidR="006C4E42" w:rsidRDefault="006C4E42" w:rsidP="002572F8">
            <w:r>
              <w:t>Queensland Competition Authority</w:t>
            </w:r>
          </w:p>
        </w:tc>
      </w:tr>
      <w:tr w:rsidR="006C4E42" w14:paraId="28969BDA" w14:textId="77777777" w:rsidTr="002572F8">
        <w:tc>
          <w:tcPr>
            <w:tcW w:w="2547" w:type="dxa"/>
          </w:tcPr>
          <w:p w14:paraId="4A41C59B" w14:textId="235B6D24" w:rsidR="006C4E42" w:rsidRDefault="00147354" w:rsidP="002572F8">
            <w:r>
              <w:t>Significant business activity</w:t>
            </w:r>
          </w:p>
        </w:tc>
        <w:tc>
          <w:tcPr>
            <w:tcW w:w="6469" w:type="dxa"/>
          </w:tcPr>
          <w:p w14:paraId="45CB0F42" w14:textId="3A5A8F76" w:rsidR="00147354" w:rsidRDefault="00147354" w:rsidP="00147354">
            <w:pPr>
              <w:rPr>
                <w:rFonts w:eastAsia="Times New Roman" w:cstheme="minorHAnsi"/>
                <w:color w:val="000000"/>
                <w:lang w:eastAsia="en-AU"/>
              </w:rPr>
            </w:pPr>
            <w:r>
              <w:rPr>
                <w:rFonts w:eastAsia="Times New Roman" w:cstheme="minorHAnsi"/>
                <w:color w:val="000000"/>
                <w:lang w:eastAsia="en-AU"/>
              </w:rPr>
              <w:t>Is a business activity of a local government that:</w:t>
            </w:r>
          </w:p>
          <w:p w14:paraId="26CD7744" w14:textId="2B2EB4CA" w:rsidR="00147354" w:rsidRPr="00147354" w:rsidRDefault="00147354" w:rsidP="00147354">
            <w:pPr>
              <w:ind w:left="465" w:hanging="284"/>
            </w:pPr>
            <w:r>
              <w:rPr>
                <w:rFonts w:eastAsia="Times New Roman" w:cstheme="minorHAnsi"/>
                <w:color w:val="000000"/>
                <w:lang w:eastAsia="en-AU"/>
              </w:rPr>
              <w:t>a)</w:t>
            </w:r>
            <w:r>
              <w:rPr>
                <w:rFonts w:eastAsia="Times New Roman" w:cstheme="minorHAnsi"/>
                <w:color w:val="000000"/>
                <w:lang w:eastAsia="en-AU"/>
              </w:rPr>
              <w:tab/>
              <w:t>i</w:t>
            </w:r>
            <w:r w:rsidRPr="00147354">
              <w:rPr>
                <w:rFonts w:eastAsia="Times New Roman" w:cstheme="minorHAnsi"/>
                <w:color w:val="000000"/>
                <w:lang w:eastAsia="en-AU"/>
              </w:rPr>
              <w:t xml:space="preserve">s </w:t>
            </w:r>
            <w:r w:rsidRPr="00147354">
              <w:t>conducted in competition, or potential competition, with the private sector (including off-street parking, quarries, sporting facilities, for example); and</w:t>
            </w:r>
          </w:p>
          <w:p w14:paraId="336523FA" w14:textId="7C8B9E06" w:rsidR="00147354" w:rsidRPr="00147354" w:rsidRDefault="00147354" w:rsidP="00147354">
            <w:pPr>
              <w:ind w:left="465" w:hanging="284"/>
              <w:rPr>
                <w:rFonts w:eastAsia="Times New Roman" w:cstheme="minorHAnsi"/>
                <w:color w:val="000000"/>
                <w:lang w:eastAsia="en-AU"/>
              </w:rPr>
            </w:pPr>
            <w:r w:rsidRPr="00147354">
              <w:t>(b)</w:t>
            </w:r>
            <w:r>
              <w:tab/>
            </w:r>
            <w:r w:rsidRPr="00147354">
              <w:t>meets the threshold</w:t>
            </w:r>
            <w:r w:rsidRPr="00147354">
              <w:rPr>
                <w:rFonts w:eastAsia="Times New Roman" w:cstheme="minorHAnsi"/>
                <w:color w:val="000000"/>
                <w:lang w:eastAsia="en-AU"/>
              </w:rPr>
              <w:t xml:space="preserve"> prescribed under a regulation.</w:t>
            </w:r>
          </w:p>
          <w:p w14:paraId="5846A0E0" w14:textId="661F11E6" w:rsidR="006C4E42" w:rsidRDefault="00147354" w:rsidP="002572F8">
            <w:r>
              <w:t>s43(4) of the LGA</w:t>
            </w:r>
          </w:p>
        </w:tc>
      </w:tr>
    </w:tbl>
    <w:p w14:paraId="5C2E43A1" w14:textId="354F2726" w:rsidR="002572F8" w:rsidRDefault="002572F8" w:rsidP="002572F8"/>
    <w:p w14:paraId="12D12802" w14:textId="404F989A" w:rsidR="00541D2B" w:rsidRDefault="00541D2B" w:rsidP="00541D2B">
      <w:pPr>
        <w:pStyle w:val="Heading1"/>
      </w:pPr>
      <w:r>
        <w:t>Provisions</w:t>
      </w:r>
    </w:p>
    <w:p w14:paraId="2DF4ECFC" w14:textId="61C4CF75" w:rsidR="007D44E0" w:rsidRDefault="007D44E0" w:rsidP="002572F8">
      <w:r>
        <w:t xml:space="preserve">Council has elected to apply the Code of Competitive Conduct (the “Code”) to some of its business activities. Section 48 of the LGA and Division 7 Subdivision 2 of the </w:t>
      </w:r>
      <w:r w:rsidR="00E16207">
        <w:t>LGR</w:t>
      </w:r>
      <w:r>
        <w:t xml:space="preserve"> require Council to establish a complaint process to receive and manage complaints about competitive neutrality in respect of these business activities. </w:t>
      </w:r>
    </w:p>
    <w:p w14:paraId="7902F767" w14:textId="1D775A62" w:rsidR="007D44E0" w:rsidRDefault="007D44E0" w:rsidP="002572F8">
      <w:r>
        <w:t xml:space="preserve">The </w:t>
      </w:r>
      <w:r w:rsidR="006A79AF" w:rsidRPr="006A79AF">
        <w:rPr>
          <w:color w:val="ED7D31" w:themeColor="accent2"/>
        </w:rPr>
        <w:t>&lt;Policy/Process&gt;</w:t>
      </w:r>
      <w:r>
        <w:t xml:space="preserve"> </w:t>
      </w:r>
      <w:r w:rsidR="006A79AF">
        <w:t xml:space="preserve">details </w:t>
      </w:r>
      <w:r>
        <w:t xml:space="preserve">how Council will </w:t>
      </w:r>
      <w:r w:rsidR="006A79AF">
        <w:t>manage concerns that it is adhering to the competitive neutrality principles in the LGA.</w:t>
      </w:r>
      <w:r>
        <w:t xml:space="preserve"> This </w:t>
      </w:r>
      <w:r w:rsidR="006A79AF" w:rsidRPr="006A79AF">
        <w:rPr>
          <w:color w:val="ED7D31" w:themeColor="accent2"/>
        </w:rPr>
        <w:t>&lt;Policy/Process&gt;</w:t>
      </w:r>
      <w:r w:rsidR="006A79AF">
        <w:t xml:space="preserve"> </w:t>
      </w:r>
      <w:r>
        <w:t xml:space="preserve">must therefore be read in conjunction with the requirements of section 48 of the </w:t>
      </w:r>
      <w:r w:rsidR="006A79AF">
        <w:t>LGA</w:t>
      </w:r>
      <w:r>
        <w:t xml:space="preserve">. Should the complaints procedure fail to include or conflict in any manner with the requirements of section 48 of the Local Government Act 2009, the requirements of the Act shall prevail. </w:t>
      </w:r>
    </w:p>
    <w:p w14:paraId="6AAB9422" w14:textId="77777777" w:rsidR="006A79AF" w:rsidRDefault="006A79AF" w:rsidP="006A79AF">
      <w:r>
        <w:t xml:space="preserve">The </w:t>
      </w:r>
      <w:r w:rsidRPr="00327D34">
        <w:rPr>
          <w:i/>
          <w:iCs/>
        </w:rPr>
        <w:t>Local Government Act 2009</w:t>
      </w:r>
      <w:r>
        <w:t xml:space="preserve"> (LGA) (s48) states that a Competitive Neutrality Complaint is property made if it:</w:t>
      </w:r>
    </w:p>
    <w:p w14:paraId="535ED56F" w14:textId="77777777" w:rsidR="006A79AF" w:rsidRDefault="006A79AF" w:rsidP="006A79AF">
      <w:pPr>
        <w:pStyle w:val="ListParagraph"/>
        <w:numPr>
          <w:ilvl w:val="0"/>
          <w:numId w:val="7"/>
        </w:numPr>
      </w:pPr>
      <w:r>
        <w:t xml:space="preserve">relates to the failure of a local government to conduct a business activity in accordance with the competitive neutrality principle; </w:t>
      </w:r>
      <w:r w:rsidRPr="00327D34">
        <w:rPr>
          <w:b/>
          <w:bCs/>
        </w:rPr>
        <w:t>and</w:t>
      </w:r>
    </w:p>
    <w:p w14:paraId="782EF18A" w14:textId="77777777" w:rsidR="006A79AF" w:rsidRDefault="006A79AF" w:rsidP="006A79AF">
      <w:pPr>
        <w:pStyle w:val="ListParagraph"/>
        <w:numPr>
          <w:ilvl w:val="0"/>
          <w:numId w:val="7"/>
        </w:numPr>
      </w:pPr>
      <w:r>
        <w:t>is made by the affected person.</w:t>
      </w:r>
    </w:p>
    <w:p w14:paraId="0E995451" w14:textId="5226EB7A" w:rsidR="006A79AF" w:rsidRDefault="006A79AF" w:rsidP="006A79AF">
      <w:r>
        <w:t>For a compliant to be investigated it must meet the above two criteria.  The complaint must also be in writing and demonstrate they are experiencing competitive disadvantage or Council experiencing competitive advantage.</w:t>
      </w:r>
    </w:p>
    <w:p w14:paraId="135960B2" w14:textId="6F121AE9" w:rsidR="00FD0C9C" w:rsidRDefault="00FD0C9C" w:rsidP="00FD0C9C">
      <w:pPr>
        <w:pStyle w:val="Heading1"/>
      </w:pPr>
      <w:r>
        <w:lastRenderedPageBreak/>
        <w:t xml:space="preserve">Policy/Process Statement  </w:t>
      </w:r>
    </w:p>
    <w:p w14:paraId="18BFD37C" w14:textId="3E63E1A8" w:rsidR="005C1695" w:rsidRDefault="005C1695" w:rsidP="005C1695">
      <w:pPr>
        <w:pStyle w:val="Heading2"/>
      </w:pPr>
      <w:r>
        <w:t xml:space="preserve">Process for raising concerns and making complaints </w:t>
      </w:r>
    </w:p>
    <w:p w14:paraId="2B3B5698" w14:textId="24C13D50" w:rsidR="00DC6FF5" w:rsidRDefault="00DC6FF5" w:rsidP="00DC6FF5">
      <w:r>
        <w:t xml:space="preserve">The complaints procedure is a </w:t>
      </w:r>
      <w:r w:rsidR="00800A76">
        <w:t>two-stage</w:t>
      </w:r>
      <w:r>
        <w:t xml:space="preserve"> process. </w:t>
      </w:r>
    </w:p>
    <w:p w14:paraId="63B659BB" w14:textId="19B37039" w:rsidR="00DC6FF5" w:rsidRDefault="00DC6FF5" w:rsidP="00DC6FF5">
      <w:pPr>
        <w:pStyle w:val="ListParagraph"/>
        <w:numPr>
          <w:ilvl w:val="0"/>
          <w:numId w:val="20"/>
        </w:numPr>
      </w:pPr>
      <w:r>
        <w:t>Stage one</w:t>
      </w:r>
      <w:r w:rsidR="007B1436">
        <w:t>:</w:t>
      </w:r>
      <w:r>
        <w:t xml:space="preserve"> aims to clarify and if </w:t>
      </w:r>
      <w:r w:rsidR="00800A76">
        <w:t>possible,</w:t>
      </w:r>
      <w:r>
        <w:t xml:space="preserve"> resolve any competitive neutrality complaint in an informal manner. </w:t>
      </w:r>
    </w:p>
    <w:p w14:paraId="16D461C2" w14:textId="16FAC366" w:rsidR="00DC6FF5" w:rsidRDefault="00DC6FF5" w:rsidP="00106ADC">
      <w:pPr>
        <w:pStyle w:val="ListParagraph"/>
        <w:numPr>
          <w:ilvl w:val="0"/>
          <w:numId w:val="20"/>
        </w:numPr>
      </w:pPr>
      <w:r>
        <w:t>Stage two</w:t>
      </w:r>
      <w:r w:rsidR="007B1436">
        <w:t xml:space="preserve">: </w:t>
      </w:r>
      <w:r>
        <w:t>if the complaint is not resolved in this manner, the complainant may lodge a formal complaint.</w:t>
      </w:r>
    </w:p>
    <w:p w14:paraId="440FD597" w14:textId="178A0954" w:rsidR="00800A76" w:rsidRDefault="00800A76" w:rsidP="00B80FC5">
      <w:pPr>
        <w:pStyle w:val="Heading3"/>
      </w:pPr>
      <w:r>
        <w:t xml:space="preserve">Stage one – Early resolution/preliminary review </w:t>
      </w:r>
    </w:p>
    <w:p w14:paraId="4653BA85" w14:textId="77777777" w:rsidR="0000457F" w:rsidRDefault="00922FDE" w:rsidP="00922FDE">
      <w:r>
        <w:t xml:space="preserve">Council is committed to early resolution of and/or clarifying Competitive Neutrality concerns in an informal manner by undertaking a preliminary review.  </w:t>
      </w:r>
    </w:p>
    <w:p w14:paraId="227559CD" w14:textId="3ADB3774" w:rsidR="0000457F" w:rsidRDefault="0000457F" w:rsidP="00922FDE">
      <w:r>
        <w:t xml:space="preserve">Anyone considering making a competitive neutrality complaint is encouraged to meet with Council representatives to allow the person to explain their concerns and enable Council to clarify and, if </w:t>
      </w:r>
      <w:r w:rsidRPr="00577564">
        <w:t>possible, resolve the matter before the complainant makes a formal complaint to the Queensland Competition Authority (QCA).</w:t>
      </w:r>
    </w:p>
    <w:p w14:paraId="7D170275" w14:textId="77777777" w:rsidR="00664E54" w:rsidRDefault="00664E54" w:rsidP="00664E54">
      <w:pPr>
        <w:pStyle w:val="Heading6"/>
      </w:pPr>
      <w:r>
        <w:t>Information required:</w:t>
      </w:r>
    </w:p>
    <w:p w14:paraId="05AC6F43" w14:textId="34D57C86" w:rsidR="00B96A10" w:rsidRPr="00E75197" w:rsidRDefault="00B96A10" w:rsidP="00B96A10">
      <w:pPr>
        <w:rPr>
          <w:rFonts w:cstheme="minorHAnsi"/>
        </w:rPr>
      </w:pPr>
      <w:r>
        <w:t xml:space="preserve">The complainant shall lodge a request for a preliminary investigation in writing addressed to the </w:t>
      </w:r>
      <w:r w:rsidRPr="00E75197">
        <w:rPr>
          <w:rFonts w:cstheme="minorHAnsi"/>
        </w:rPr>
        <w:t xml:space="preserve">Chief Executive Officer (CEO). The request shall outline in brief terms: </w:t>
      </w:r>
    </w:p>
    <w:p w14:paraId="43350008" w14:textId="77777777" w:rsidR="00B96A10" w:rsidRPr="00E75197" w:rsidRDefault="00B96A10" w:rsidP="00B96A10">
      <w:pPr>
        <w:pStyle w:val="ListParagraph"/>
        <w:numPr>
          <w:ilvl w:val="0"/>
          <w:numId w:val="24"/>
        </w:numPr>
        <w:rPr>
          <w:rFonts w:cstheme="minorHAnsi"/>
        </w:rPr>
      </w:pPr>
      <w:r w:rsidRPr="00E75197">
        <w:rPr>
          <w:rFonts w:cstheme="minorHAnsi"/>
        </w:rPr>
        <w:t xml:space="preserve">the Council business activity to which the complaint relates and how the complainant is adversely affected by the Council business activity (the complainant’s concerns), </w:t>
      </w:r>
    </w:p>
    <w:p w14:paraId="634F1091" w14:textId="77777777" w:rsidR="00B96A10" w:rsidRPr="00E75197" w:rsidRDefault="00B96A10" w:rsidP="00B96A10">
      <w:pPr>
        <w:pStyle w:val="ListParagraph"/>
        <w:numPr>
          <w:ilvl w:val="0"/>
          <w:numId w:val="24"/>
        </w:numPr>
        <w:rPr>
          <w:rFonts w:cstheme="minorHAnsi"/>
        </w:rPr>
      </w:pPr>
      <w:r w:rsidRPr="00E75197">
        <w:rPr>
          <w:rFonts w:cstheme="minorHAnsi"/>
        </w:rPr>
        <w:t>the principles of competitive neutrality allegedly compromised by the business activity.</w:t>
      </w:r>
    </w:p>
    <w:p w14:paraId="085E9396" w14:textId="1F32701A" w:rsidR="00922FDE" w:rsidRDefault="0000457F" w:rsidP="00922FDE">
      <w:r w:rsidRPr="00577564">
        <w:t>To assist the</w:t>
      </w:r>
      <w:r w:rsidR="00577564" w:rsidRPr="00577564">
        <w:t xml:space="preserve"> process, the Preliminary Request – Competitive Neutrality Compliant Form can be completed to support the concerns, for investigation and recording purposes (i.e. claims/concerns needs to be in writing).  T</w:t>
      </w:r>
      <w:r w:rsidR="00922FDE" w:rsidRPr="00577564">
        <w:t>his form has been developed to capture relevant initial information to assist preliminary investigations.</w:t>
      </w:r>
    </w:p>
    <w:p w14:paraId="62B6E1E9" w14:textId="5A16A4A2" w:rsidR="00577564" w:rsidRDefault="00897911" w:rsidP="00897911">
      <w:pPr>
        <w:pStyle w:val="Heading5"/>
      </w:pPr>
      <w:r>
        <w:t xml:space="preserve">Steps of preliminary investigation/review </w:t>
      </w:r>
    </w:p>
    <w:p w14:paraId="2BDF3FD1" w14:textId="77777777" w:rsidR="00664E54" w:rsidRPr="00664E54" w:rsidRDefault="00B80FC5" w:rsidP="00664E54">
      <w:pPr>
        <w:pStyle w:val="ListParagraph"/>
        <w:numPr>
          <w:ilvl w:val="0"/>
          <w:numId w:val="24"/>
        </w:numPr>
      </w:pPr>
      <w:r w:rsidRPr="00664E54">
        <w:rPr>
          <w:rFonts w:cstheme="minorHAnsi"/>
        </w:rPr>
        <w:t>Complainant</w:t>
      </w:r>
      <w:r w:rsidRPr="00664E54">
        <w:t xml:space="preserve"> advises Council verbally or in writing of their concerns. </w:t>
      </w:r>
    </w:p>
    <w:p w14:paraId="02000E1C" w14:textId="13229C39" w:rsidR="00664E54" w:rsidRPr="00664E54" w:rsidRDefault="00664E54" w:rsidP="00664E54">
      <w:pPr>
        <w:pStyle w:val="ListParagraph"/>
        <w:numPr>
          <w:ilvl w:val="1"/>
          <w:numId w:val="24"/>
        </w:numPr>
        <w:ind w:left="1134"/>
      </w:pPr>
      <w:r>
        <w:t>preference</w:t>
      </w:r>
      <w:r w:rsidRPr="00664E54">
        <w:t xml:space="preserve"> is in writing using the Preliminary Request – Competitive Neutrality Compliant Form or another medium that responds to the information required noted above </w:t>
      </w:r>
    </w:p>
    <w:p w14:paraId="232E4859" w14:textId="43028F49" w:rsidR="00B80FC5" w:rsidRPr="00664E54" w:rsidRDefault="00B80FC5" w:rsidP="00664E54">
      <w:pPr>
        <w:pStyle w:val="ListParagraph"/>
        <w:numPr>
          <w:ilvl w:val="1"/>
          <w:numId w:val="24"/>
        </w:numPr>
        <w:ind w:left="1134"/>
      </w:pPr>
      <w:r w:rsidRPr="00664E54">
        <w:t>If the complaint is made</w:t>
      </w:r>
      <w:r w:rsidR="007A7116" w:rsidRPr="00664E54">
        <w:t xml:space="preserve"> </w:t>
      </w:r>
      <w:r w:rsidRPr="00664E54">
        <w:t>verbally, it should be referred to the CEO if available or another senior officer and all relevant</w:t>
      </w:r>
      <w:r w:rsidR="007A7116" w:rsidRPr="00664E54">
        <w:t xml:space="preserve"> </w:t>
      </w:r>
      <w:r w:rsidRPr="00664E54">
        <w:t>details obtained.</w:t>
      </w:r>
    </w:p>
    <w:p w14:paraId="0C6BF1E9" w14:textId="1B185EDF" w:rsidR="00664E54" w:rsidRPr="00664E54" w:rsidRDefault="00664E54" w:rsidP="00664E54">
      <w:pPr>
        <w:pStyle w:val="ListParagraph"/>
        <w:numPr>
          <w:ilvl w:val="0"/>
          <w:numId w:val="24"/>
        </w:numPr>
      </w:pPr>
      <w:r w:rsidRPr="00664E54">
        <w:t xml:space="preserve">The CEO will confirm </w:t>
      </w:r>
      <w:r w:rsidRPr="00664E54">
        <w:rPr>
          <w:rFonts w:cstheme="minorHAnsi"/>
        </w:rPr>
        <w:t>if</w:t>
      </w:r>
      <w:r w:rsidRPr="00664E54">
        <w:t xml:space="preserve"> they </w:t>
      </w:r>
      <w:r w:rsidR="001A4D58" w:rsidRPr="00664E54">
        <w:t>facilitate</w:t>
      </w:r>
      <w:r w:rsidRPr="00664E54">
        <w:t xml:space="preserve"> the complaint </w:t>
      </w:r>
      <w:r w:rsidR="00396F58">
        <w:t xml:space="preserve">themselves </w:t>
      </w:r>
      <w:r w:rsidRPr="00664E54">
        <w:t xml:space="preserve">or </w:t>
      </w:r>
      <w:r w:rsidR="00396F58">
        <w:t xml:space="preserve">if they will </w:t>
      </w:r>
      <w:r w:rsidRPr="00664E54">
        <w:t xml:space="preserve">appoint a review officer or officers as per this </w:t>
      </w:r>
      <w:r w:rsidRPr="00664E54">
        <w:rPr>
          <w:color w:val="ED7D31" w:themeColor="accent2"/>
        </w:rPr>
        <w:t>&lt;Policy/Process&gt;</w:t>
      </w:r>
      <w:r w:rsidRPr="00664E54">
        <w:t xml:space="preserve"> and/or under the power delegated to the Chief Executive Officer to appoint review officer/s.</w:t>
      </w:r>
    </w:p>
    <w:p w14:paraId="58B1279B" w14:textId="03C31F41" w:rsidR="00B80FC5" w:rsidRPr="00664E54" w:rsidRDefault="00B80FC5" w:rsidP="00664E54">
      <w:pPr>
        <w:pStyle w:val="ListParagraph"/>
        <w:numPr>
          <w:ilvl w:val="0"/>
          <w:numId w:val="24"/>
        </w:numPr>
      </w:pPr>
      <w:r w:rsidRPr="00664E54">
        <w:rPr>
          <w:rFonts w:cstheme="minorHAnsi"/>
        </w:rPr>
        <w:t>Council</w:t>
      </w:r>
      <w:r w:rsidRPr="00664E54">
        <w:t xml:space="preserve"> will acknowledge receipt of the concerns in writing within</w:t>
      </w:r>
      <w:r w:rsidRPr="00396F58">
        <w:rPr>
          <w:color w:val="ED7D31" w:themeColor="accent2"/>
        </w:rPr>
        <w:t xml:space="preserve"> </w:t>
      </w:r>
      <w:r w:rsidR="00396F58" w:rsidRPr="00396F58">
        <w:rPr>
          <w:color w:val="ED7D31" w:themeColor="accent2"/>
        </w:rPr>
        <w:t xml:space="preserve">&lt;seven (7)&gt; </w:t>
      </w:r>
      <w:r w:rsidRPr="00664E54">
        <w:t>working days and</w:t>
      </w:r>
      <w:r w:rsidR="007A7116" w:rsidRPr="00664E54">
        <w:t xml:space="preserve"> </w:t>
      </w:r>
      <w:r w:rsidRPr="00664E54">
        <w:t>advise</w:t>
      </w:r>
      <w:r w:rsidR="007A7116" w:rsidRPr="00664E54">
        <w:t xml:space="preserve"> </w:t>
      </w:r>
      <w:r w:rsidRPr="00664E54">
        <w:t>the person expressing the concerns that the</w:t>
      </w:r>
      <w:r w:rsidR="001A4D58">
        <w:t xml:space="preserve"> matter is being investigated.</w:t>
      </w:r>
    </w:p>
    <w:p w14:paraId="1F493C74" w14:textId="2C446D1E" w:rsidR="00B80FC5" w:rsidRPr="00664E54" w:rsidRDefault="00B80FC5" w:rsidP="001A4D58">
      <w:pPr>
        <w:pStyle w:val="ListParagraph"/>
        <w:numPr>
          <w:ilvl w:val="0"/>
          <w:numId w:val="24"/>
        </w:numPr>
      </w:pPr>
      <w:r w:rsidRPr="00664E54">
        <w:t>The CEO</w:t>
      </w:r>
      <w:r w:rsidR="007A7116" w:rsidRPr="00664E54">
        <w:t>,</w:t>
      </w:r>
      <w:r w:rsidRPr="00664E54">
        <w:t xml:space="preserve"> </w:t>
      </w:r>
      <w:r w:rsidR="007A7116" w:rsidRPr="00664E54">
        <w:t xml:space="preserve">or </w:t>
      </w:r>
      <w:r w:rsidR="007A7116" w:rsidRPr="001A4D58">
        <w:rPr>
          <w:rFonts w:cstheme="minorHAnsi"/>
        </w:rPr>
        <w:t>their</w:t>
      </w:r>
      <w:r w:rsidR="007A7116" w:rsidRPr="00664E54">
        <w:t xml:space="preserve"> delegated </w:t>
      </w:r>
      <w:r w:rsidR="00ED2CFD" w:rsidRPr="00664E54">
        <w:t>R</w:t>
      </w:r>
      <w:r w:rsidR="007A7116" w:rsidRPr="00664E54">
        <w:t xml:space="preserve">eview </w:t>
      </w:r>
      <w:r w:rsidR="00ED2CFD" w:rsidRPr="00664E54">
        <w:t>O</w:t>
      </w:r>
      <w:r w:rsidR="007A7116" w:rsidRPr="00664E54">
        <w:t xml:space="preserve">fficer, </w:t>
      </w:r>
      <w:r w:rsidRPr="00664E54">
        <w:t xml:space="preserve">will seek to establish the facts relating to the concerns expressed by the </w:t>
      </w:r>
      <w:r w:rsidR="00694A13">
        <w:t>complainant</w:t>
      </w:r>
      <w:r w:rsidRPr="00664E54">
        <w:t>.</w:t>
      </w:r>
    </w:p>
    <w:p w14:paraId="53694BA5" w14:textId="19EA11AB" w:rsidR="00B80FC5" w:rsidRPr="00664E54" w:rsidRDefault="00B80FC5" w:rsidP="001A4D58">
      <w:pPr>
        <w:pStyle w:val="ListParagraph"/>
        <w:numPr>
          <w:ilvl w:val="0"/>
          <w:numId w:val="24"/>
        </w:numPr>
      </w:pPr>
      <w:r w:rsidRPr="00664E54">
        <w:t xml:space="preserve">Investigation of the </w:t>
      </w:r>
      <w:r w:rsidRPr="001A4D58">
        <w:rPr>
          <w:rFonts w:cstheme="minorHAnsi"/>
        </w:rPr>
        <w:t>matter</w:t>
      </w:r>
      <w:r w:rsidRPr="00664E54">
        <w:t xml:space="preserve"> may involve meeting with the person, collecting data, and holding</w:t>
      </w:r>
      <w:r w:rsidR="007A7116" w:rsidRPr="00664E54">
        <w:t xml:space="preserve"> </w:t>
      </w:r>
      <w:r w:rsidRPr="00664E54">
        <w:t>further meetings</w:t>
      </w:r>
      <w:r w:rsidR="00694A13">
        <w:t>.</w:t>
      </w:r>
    </w:p>
    <w:p w14:paraId="3CAADD70" w14:textId="0729066F" w:rsidR="00B80FC5" w:rsidRPr="00664E54" w:rsidRDefault="00694A13" w:rsidP="001A4D58">
      <w:pPr>
        <w:pStyle w:val="ListParagraph"/>
        <w:numPr>
          <w:ilvl w:val="0"/>
          <w:numId w:val="24"/>
        </w:numPr>
      </w:pPr>
      <w:r>
        <w:t>A</w:t>
      </w:r>
      <w:r w:rsidR="00B80FC5" w:rsidRPr="00664E54">
        <w:t xml:space="preserve"> proposed response </w:t>
      </w:r>
      <w:r>
        <w:t xml:space="preserve">will be developed </w:t>
      </w:r>
      <w:r w:rsidR="00B80FC5" w:rsidRPr="00664E54">
        <w:t xml:space="preserve">to the concerns and seek, within a reasonable </w:t>
      </w:r>
      <w:r w:rsidR="007A7116" w:rsidRPr="00664E54">
        <w:t>t</w:t>
      </w:r>
      <w:r w:rsidR="00B80FC5" w:rsidRPr="00664E54">
        <w:t>ime,</w:t>
      </w:r>
      <w:r w:rsidR="00ED2CFD" w:rsidRPr="00664E54">
        <w:t xml:space="preserve"> </w:t>
      </w:r>
      <w:r w:rsidR="00B80FC5" w:rsidRPr="00664E54">
        <w:t xml:space="preserve">the </w:t>
      </w:r>
      <w:r>
        <w:t>complainant</w:t>
      </w:r>
      <w:r w:rsidR="00396F58">
        <w:t>’</w:t>
      </w:r>
      <w:r>
        <w:t xml:space="preserve">s </w:t>
      </w:r>
      <w:r w:rsidR="00B80FC5" w:rsidRPr="00664E54">
        <w:t>views on the proposed response</w:t>
      </w:r>
      <w:r>
        <w:t>.</w:t>
      </w:r>
    </w:p>
    <w:p w14:paraId="2963D5B9" w14:textId="6832DAD7" w:rsidR="00B80FC5" w:rsidRPr="00664E54" w:rsidRDefault="00B80FC5" w:rsidP="001A4D58">
      <w:pPr>
        <w:pStyle w:val="ListParagraph"/>
        <w:numPr>
          <w:ilvl w:val="0"/>
          <w:numId w:val="24"/>
        </w:numPr>
      </w:pPr>
      <w:r w:rsidRPr="00664E54">
        <w:lastRenderedPageBreak/>
        <w:t>The CEO shall make a response to the person in writing.</w:t>
      </w:r>
    </w:p>
    <w:p w14:paraId="62DD051A" w14:textId="6AA16FEA" w:rsidR="00694A13" w:rsidRDefault="00694A13" w:rsidP="00694A13">
      <w:r>
        <w:t xml:space="preserve">The review officer will document and record the complaint and the resulting decision and recommendation (recordkeeping). </w:t>
      </w:r>
    </w:p>
    <w:p w14:paraId="4487874C" w14:textId="7B4383CF" w:rsidR="00694A13" w:rsidRDefault="00694A13" w:rsidP="00694A13">
      <w:pPr>
        <w:rPr>
          <w:highlight w:val="yellow"/>
        </w:rPr>
      </w:pPr>
      <w:r>
        <w:t>Council will assist any person wanting to make a complaint by providing them with information about the steps that must be taken, as per the LGR.</w:t>
      </w:r>
    </w:p>
    <w:p w14:paraId="7BA070AD" w14:textId="3AEE8BDE" w:rsidR="00A00EFB" w:rsidRDefault="00800A76" w:rsidP="00B80FC5">
      <w:pPr>
        <w:pStyle w:val="Heading3"/>
      </w:pPr>
      <w:r>
        <w:t xml:space="preserve">Stage two - </w:t>
      </w:r>
      <w:r w:rsidR="00A00EFB">
        <w:t>Formal complaints</w:t>
      </w:r>
    </w:p>
    <w:p w14:paraId="1FE6AEFF" w14:textId="0F7424FE" w:rsidR="00455619" w:rsidRDefault="00323FDE" w:rsidP="002572F8">
      <w:r>
        <w:t xml:space="preserve">If the complaint is not resolved through </w:t>
      </w:r>
      <w:r w:rsidR="005F0F83">
        <w:t>Stage one</w:t>
      </w:r>
      <w:r>
        <w:t xml:space="preserve">, the person who wants to make a complaint must make the complaint in writing to the </w:t>
      </w:r>
      <w:r w:rsidR="00455619">
        <w:t>QCA</w:t>
      </w:r>
      <w:r>
        <w:t>.</w:t>
      </w:r>
    </w:p>
    <w:p w14:paraId="04C864C1" w14:textId="75BBE921" w:rsidR="00323FDE" w:rsidRDefault="00323FDE" w:rsidP="002572F8">
      <w:r>
        <w:t xml:space="preserve">The complaint process should be followed by Council in accordance with sections </w:t>
      </w:r>
      <w:r w:rsidR="009C3799">
        <w:t>45</w:t>
      </w:r>
      <w:r>
        <w:t xml:space="preserve"> to 55 of the </w:t>
      </w:r>
      <w:r w:rsidR="00455619">
        <w:t>LGR</w:t>
      </w:r>
      <w:r w:rsidR="00652438">
        <w:t>.</w:t>
      </w:r>
    </w:p>
    <w:p w14:paraId="33D4E122" w14:textId="7E0544B2" w:rsidR="005F0F83" w:rsidRDefault="00652438" w:rsidP="005F0F83">
      <w:r>
        <w:t>Complainants are advised that a</w:t>
      </w:r>
      <w:r w:rsidRPr="00D068D6">
        <w:t xml:space="preserve">ll complaints must be made in writing and provide </w:t>
      </w:r>
      <w:r w:rsidR="005F0F83">
        <w:t>the following:</w:t>
      </w:r>
    </w:p>
    <w:p w14:paraId="62B2E192" w14:textId="7C5EA7BE" w:rsidR="005F0F83" w:rsidRPr="005F0F83" w:rsidRDefault="005F0F83" w:rsidP="005F0F83">
      <w:pPr>
        <w:pStyle w:val="ListParagraph"/>
        <w:numPr>
          <w:ilvl w:val="0"/>
          <w:numId w:val="24"/>
        </w:numPr>
      </w:pPr>
      <w:r w:rsidRPr="005F0F83">
        <w:t>details of the business activity's alleged failure to comply with the competitive neutrality principle;</w:t>
      </w:r>
    </w:p>
    <w:p w14:paraId="7B6B5156" w14:textId="30F172FD" w:rsidR="005F0F83" w:rsidRPr="005F0F83" w:rsidRDefault="005F0F83" w:rsidP="005F0F83">
      <w:pPr>
        <w:pStyle w:val="ListParagraph"/>
        <w:numPr>
          <w:ilvl w:val="0"/>
          <w:numId w:val="24"/>
        </w:numPr>
      </w:pPr>
      <w:r w:rsidRPr="005F0F83">
        <w:t xml:space="preserve">information that shows the person is or may be in competition with </w:t>
      </w:r>
      <w:r w:rsidR="003C7650">
        <w:t>Councils</w:t>
      </w:r>
      <w:r w:rsidRPr="005F0F83">
        <w:t xml:space="preserve"> business entity;</w:t>
      </w:r>
    </w:p>
    <w:p w14:paraId="58FCBD21" w14:textId="5971150D" w:rsidR="005F0F83" w:rsidRPr="005F0F83" w:rsidRDefault="005F0F83" w:rsidP="000F7DE1">
      <w:pPr>
        <w:pStyle w:val="ListParagraph"/>
        <w:numPr>
          <w:ilvl w:val="0"/>
          <w:numId w:val="24"/>
        </w:numPr>
      </w:pPr>
      <w:r w:rsidRPr="005F0F83">
        <w:t>information that shows how the person is or may be adversely affected by the business entity's alleged</w:t>
      </w:r>
      <w:r>
        <w:t xml:space="preserve"> </w:t>
      </w:r>
      <w:r w:rsidRPr="005F0F83">
        <w:t>failure; and</w:t>
      </w:r>
    </w:p>
    <w:p w14:paraId="56561191" w14:textId="01324411" w:rsidR="005F0F83" w:rsidRPr="00347ADB" w:rsidRDefault="005F0F83" w:rsidP="0090795E">
      <w:pPr>
        <w:pStyle w:val="ListParagraph"/>
        <w:numPr>
          <w:ilvl w:val="0"/>
          <w:numId w:val="24"/>
        </w:numPr>
      </w:pPr>
      <w:r w:rsidRPr="005F0F83">
        <w:t>information that shows that the person has made a genuine attempt to resolve the complaint directly with</w:t>
      </w:r>
      <w:r>
        <w:t xml:space="preserve"> Council</w:t>
      </w:r>
      <w:r w:rsidRPr="005F0F83">
        <w:t>.</w:t>
      </w:r>
    </w:p>
    <w:p w14:paraId="69CFD2E6" w14:textId="77777777" w:rsidR="00652438" w:rsidRPr="00D068D6" w:rsidRDefault="00652438" w:rsidP="00652438">
      <w:r w:rsidRPr="00347ADB">
        <w:t xml:space="preserve">A competitive neutrality complaint </w:t>
      </w:r>
      <w:hyperlink r:id="rId15" w:history="1">
        <w:r w:rsidRPr="00347ADB">
          <w:rPr>
            <w:rStyle w:val="Hyperlink"/>
          </w:rPr>
          <w:t>Form</w:t>
        </w:r>
      </w:hyperlink>
      <w:r w:rsidRPr="00347ADB">
        <w:rPr>
          <w:color w:val="ED7D31" w:themeColor="accent2"/>
        </w:rPr>
        <w:t xml:space="preserve"> </w:t>
      </w:r>
      <w:r w:rsidRPr="00347ADB">
        <w:t xml:space="preserve">is available on the </w:t>
      </w:r>
      <w:hyperlink r:id="rId16" w:history="1">
        <w:r w:rsidRPr="00347ADB">
          <w:rPr>
            <w:rStyle w:val="Hyperlink"/>
          </w:rPr>
          <w:t>Queensland Competition Authority</w:t>
        </w:r>
      </w:hyperlink>
      <w:r w:rsidRPr="00347ADB">
        <w:t xml:space="preserve"> webpage or contact them on (07) 3222 0555 or via their online </w:t>
      </w:r>
      <w:hyperlink r:id="rId17" w:history="1">
        <w:r w:rsidRPr="00347ADB">
          <w:rPr>
            <w:rStyle w:val="Hyperlink"/>
          </w:rPr>
          <w:t>form</w:t>
        </w:r>
      </w:hyperlink>
      <w:r w:rsidRPr="00347ADB">
        <w:t>.</w:t>
      </w:r>
    </w:p>
    <w:p w14:paraId="1EDAA3F0" w14:textId="0DC66ADA" w:rsidR="009B588F" w:rsidRDefault="00B80FC5" w:rsidP="00323FDE">
      <w:pPr>
        <w:pStyle w:val="Heading2"/>
      </w:pPr>
      <w:r>
        <w:t xml:space="preserve">Reports and </w:t>
      </w:r>
      <w:r w:rsidR="009B588F">
        <w:t xml:space="preserve">Recommendations </w:t>
      </w:r>
    </w:p>
    <w:p w14:paraId="0F52CC5B" w14:textId="332F6DBD" w:rsidR="00D76C14" w:rsidRPr="00E070C5" w:rsidRDefault="002403B6" w:rsidP="00E070C5">
      <w:r w:rsidRPr="00E070C5">
        <w:rPr>
          <w:rFonts w:hint="cs"/>
        </w:rPr>
        <w:t xml:space="preserve">The </w:t>
      </w:r>
      <w:r w:rsidR="00396F58">
        <w:t>QCA</w:t>
      </w:r>
      <w:r w:rsidRPr="00E070C5">
        <w:rPr>
          <w:rFonts w:hint="cs"/>
        </w:rPr>
        <w:t xml:space="preserve"> will provide a report to Council with recommendations following the completion of their investigation</w:t>
      </w:r>
      <w:r w:rsidRPr="00E070C5">
        <w:t>.</w:t>
      </w:r>
    </w:p>
    <w:p w14:paraId="5D075D79" w14:textId="4BE6D041" w:rsidR="002403B6" w:rsidRPr="00E070C5" w:rsidRDefault="002403B6" w:rsidP="00E070C5">
      <w:r w:rsidRPr="00E070C5">
        <w:t>Council will consider any report provided by the QCA within 30 days of receiving it and will decide by resolution at the following Council meeting whether to implement the authority's recommendation, stating the reasons for the decision.</w:t>
      </w:r>
    </w:p>
    <w:p w14:paraId="4272E6CE" w14:textId="0735D55E" w:rsidR="002403B6" w:rsidRPr="00E070C5" w:rsidRDefault="002403B6" w:rsidP="00E070C5">
      <w:r w:rsidRPr="00E070C5">
        <w:t xml:space="preserve">Within 7 days of making the resolution, Council will give notice of its decision to the complainant and the QCA. </w:t>
      </w:r>
      <w:r w:rsidRPr="00E070C5">
        <w:rPr>
          <w:rFonts w:hint="cs"/>
        </w:rPr>
        <w:t xml:space="preserve">A copy of Council’s resolution must be provided to </w:t>
      </w:r>
      <w:r w:rsidR="00E070C5" w:rsidRPr="00E070C5">
        <w:t xml:space="preserve">all relevant stakeholders, i.e. </w:t>
      </w:r>
      <w:r w:rsidRPr="00E070C5">
        <w:rPr>
          <w:rFonts w:hint="cs"/>
        </w:rPr>
        <w:t>the complainant</w:t>
      </w:r>
      <w:r w:rsidR="00396F58">
        <w:t xml:space="preserve"> or</w:t>
      </w:r>
      <w:r w:rsidRPr="00E070C5">
        <w:rPr>
          <w:rFonts w:hint="cs"/>
        </w:rPr>
        <w:t>, corporati</w:t>
      </w:r>
      <w:r w:rsidR="00E070C5" w:rsidRPr="00E070C5">
        <w:t>s</w:t>
      </w:r>
      <w:r w:rsidRPr="00E070C5">
        <w:rPr>
          <w:rFonts w:hint="cs"/>
        </w:rPr>
        <w:t>ed business entity</w:t>
      </w:r>
      <w:r w:rsidR="00396F58">
        <w:t xml:space="preserve"> that</w:t>
      </w:r>
      <w:r w:rsidRPr="00E070C5">
        <w:rPr>
          <w:rFonts w:hint="cs"/>
        </w:rPr>
        <w:t xml:space="preserve"> is conducting the business activity. </w:t>
      </w:r>
    </w:p>
    <w:p w14:paraId="399D896D" w14:textId="30DE797B" w:rsidR="00B80FC5" w:rsidRDefault="00B80FC5" w:rsidP="00E070C5">
      <w:r w:rsidRPr="00E070C5">
        <w:t xml:space="preserve">If the QCA provides a report to </w:t>
      </w:r>
      <w:r w:rsidR="00E070C5" w:rsidRPr="00E070C5">
        <w:t>Council</w:t>
      </w:r>
      <w:r w:rsidRPr="00E070C5">
        <w:t xml:space="preserve"> about an investigation into a competitive neutrality complaint, a copy of</w:t>
      </w:r>
      <w:r w:rsidR="002403B6" w:rsidRPr="00E070C5">
        <w:t xml:space="preserve"> </w:t>
      </w:r>
      <w:r w:rsidRPr="00E070C5">
        <w:t xml:space="preserve">the report will be made available for public inspection at </w:t>
      </w:r>
      <w:r w:rsidR="00E070C5" w:rsidRPr="00E070C5">
        <w:t>Council</w:t>
      </w:r>
      <w:r w:rsidR="00396F58">
        <w:t>’</w:t>
      </w:r>
      <w:r w:rsidR="00E070C5" w:rsidRPr="00E070C5">
        <w:t xml:space="preserve">s </w:t>
      </w:r>
      <w:r w:rsidRPr="00E070C5">
        <w:t>administration centre as soon as practicable</w:t>
      </w:r>
      <w:r w:rsidR="00E070C5" w:rsidRPr="00E070C5">
        <w:t xml:space="preserve"> (s43 LGR)</w:t>
      </w:r>
      <w:r w:rsidRPr="00E070C5">
        <w:t>.</w:t>
      </w:r>
    </w:p>
    <w:p w14:paraId="000931DF" w14:textId="5886410A" w:rsidR="00323FDE" w:rsidRDefault="00323FDE" w:rsidP="00323FDE">
      <w:pPr>
        <w:pStyle w:val="Heading2"/>
      </w:pPr>
      <w:r>
        <w:t xml:space="preserve">Recordkeeping </w:t>
      </w:r>
    </w:p>
    <w:p w14:paraId="31756750" w14:textId="040ED7BA" w:rsidR="00323FDE" w:rsidRDefault="00323FDE" w:rsidP="00AD7DF5">
      <w:pPr>
        <w:rPr>
          <w:rFonts w:ascii="Angsana New" w:hAnsi="Angsana New" w:cs="Angsana New"/>
        </w:rPr>
      </w:pPr>
      <w:r>
        <w:t>In accordance with section 44 (2) (b) of the LGR Council will maintain accurate records of all complaints, decisions and recommendations</w:t>
      </w:r>
      <w:r w:rsidR="005C1695">
        <w:t>.</w:t>
      </w:r>
    </w:p>
    <w:p w14:paraId="6DCD5D16" w14:textId="77777777" w:rsidR="00B80FC5" w:rsidRDefault="00B80FC5" w:rsidP="00B80FC5">
      <w:pPr>
        <w:pStyle w:val="Heading2"/>
      </w:pPr>
      <w:r>
        <w:t>Register of Business Activities</w:t>
      </w:r>
    </w:p>
    <w:p w14:paraId="7A7912F2" w14:textId="53F302A3" w:rsidR="00B80FC5" w:rsidRDefault="00B80FC5" w:rsidP="00B80FC5">
      <w:r>
        <w:t>Council</w:t>
      </w:r>
      <w:r w:rsidR="00396F58">
        <w:t xml:space="preserve"> must</w:t>
      </w:r>
      <w:r>
        <w:t xml:space="preserve"> maintain a register of its business activities. The register includes:</w:t>
      </w:r>
    </w:p>
    <w:p w14:paraId="419C925C" w14:textId="712D6609" w:rsidR="00B80FC5" w:rsidRDefault="00B80FC5" w:rsidP="005C41FC">
      <w:pPr>
        <w:pStyle w:val="ListParagraph"/>
        <w:numPr>
          <w:ilvl w:val="0"/>
          <w:numId w:val="21"/>
        </w:numPr>
      </w:pPr>
      <w:r>
        <w:t>the business activities to which the competitive neutrality principle has been applied and the date it was applied;</w:t>
      </w:r>
    </w:p>
    <w:p w14:paraId="6EAF378A" w14:textId="7B443BFC" w:rsidR="00B80FC5" w:rsidRDefault="00B80FC5" w:rsidP="00D8510A">
      <w:pPr>
        <w:pStyle w:val="ListParagraph"/>
        <w:numPr>
          <w:ilvl w:val="0"/>
          <w:numId w:val="21"/>
        </w:numPr>
      </w:pPr>
      <w:r>
        <w:lastRenderedPageBreak/>
        <w:t>the business activities to which the code of competitive conduct applies and the date the code was applied; and</w:t>
      </w:r>
    </w:p>
    <w:p w14:paraId="0470E2AB" w14:textId="171DB358" w:rsidR="00B80FC5" w:rsidRDefault="00B80FC5" w:rsidP="000C580F">
      <w:pPr>
        <w:pStyle w:val="ListParagraph"/>
        <w:numPr>
          <w:ilvl w:val="0"/>
          <w:numId w:val="21"/>
        </w:numPr>
      </w:pPr>
      <w:r>
        <w:t>a list of current investigative notices for competitive neutrality complaints and the business activities to which they relate, and</w:t>
      </w:r>
      <w:r w:rsidR="0051265B">
        <w:t xml:space="preserve"> </w:t>
      </w:r>
      <w:r w:rsidR="00267286">
        <w:t>Council’s</w:t>
      </w:r>
      <w:r w:rsidR="0051265B">
        <w:t xml:space="preserve"> responses</w:t>
      </w:r>
      <w:r>
        <w:t xml:space="preserve"> to the recommendations made by the QCA in relation to the complaints.</w:t>
      </w:r>
    </w:p>
    <w:p w14:paraId="7D5F43FF" w14:textId="4AC09003" w:rsidR="00B80FC5" w:rsidRDefault="00B80FC5" w:rsidP="00B80FC5">
      <w:pPr>
        <w:spacing w:after="0" w:line="240" w:lineRule="auto"/>
        <w:rPr>
          <w:rFonts w:ascii="Arial" w:hAnsi="Arial" w:cs="Arial"/>
          <w:color w:val="000000"/>
        </w:rPr>
      </w:pPr>
    </w:p>
    <w:p w14:paraId="041668C8" w14:textId="70D48A0E" w:rsidR="00B80FC5" w:rsidRDefault="005C1695" w:rsidP="00B80FC5">
      <w:pPr>
        <w:pStyle w:val="Heading2"/>
      </w:pPr>
      <w:r>
        <w:t>Responsibility</w:t>
      </w:r>
    </w:p>
    <w:p w14:paraId="5D904EA0" w14:textId="0FE37D2B" w:rsidR="00B80FC5" w:rsidRDefault="00B80FC5" w:rsidP="00B80FC5">
      <w:r>
        <w:t xml:space="preserve">The Chief Executive Officer, </w:t>
      </w:r>
      <w:r w:rsidRPr="00B80FC5">
        <w:rPr>
          <w:color w:val="ED7D31" w:themeColor="accent2"/>
        </w:rPr>
        <w:t xml:space="preserve">&lt;any other officers&gt; </w:t>
      </w:r>
      <w:r>
        <w:t>or delegate are responsible for coordinating any internal investigation arising from a complaint.</w:t>
      </w:r>
    </w:p>
    <w:p w14:paraId="58619F07" w14:textId="256DD8AB" w:rsidR="00B80FC5" w:rsidRDefault="00B80FC5" w:rsidP="00B80FC5">
      <w:pPr>
        <w:rPr>
          <w:rFonts w:ascii="Angsana New" w:hAnsi="Angsana New" w:cs="Angsana New"/>
        </w:rPr>
      </w:pPr>
      <w:r>
        <w:t xml:space="preserve">The </w:t>
      </w:r>
      <w:r w:rsidRPr="00B80FC5">
        <w:rPr>
          <w:color w:val="ED7D31" w:themeColor="accent2"/>
        </w:rPr>
        <w:t>&lt;position&gt;</w:t>
      </w:r>
      <w:r>
        <w:t xml:space="preserve"> will maintain a register of complaints and report any relevant information/disclosures to the </w:t>
      </w:r>
      <w:r>
        <w:rPr>
          <w:color w:val="202020"/>
        </w:rPr>
        <w:t>Queensland Competition Authority.</w:t>
      </w:r>
    </w:p>
    <w:p w14:paraId="108B96CA" w14:textId="4F82971D" w:rsidR="00505114" w:rsidRDefault="005C1695" w:rsidP="00505114">
      <w:pPr>
        <w:pStyle w:val="Heading1"/>
      </w:pPr>
      <w:r>
        <w:t>Legislation/Literature</w:t>
      </w:r>
    </w:p>
    <w:p w14:paraId="40B01925" w14:textId="1A9B68BB" w:rsidR="00505114" w:rsidRPr="007D44E0" w:rsidRDefault="007D44E0" w:rsidP="007D0DCE">
      <w:pPr>
        <w:rPr>
          <w:i/>
          <w:iCs/>
        </w:rPr>
      </w:pPr>
      <w:r w:rsidRPr="007D44E0">
        <w:rPr>
          <w:i/>
          <w:iCs/>
        </w:rPr>
        <w:t>Local Government Act 2009</w:t>
      </w:r>
    </w:p>
    <w:p w14:paraId="459A468A" w14:textId="271B3741" w:rsidR="00505114" w:rsidRPr="007D44E0" w:rsidRDefault="00505114" w:rsidP="007D0DCE">
      <w:pPr>
        <w:rPr>
          <w:i/>
          <w:iCs/>
        </w:rPr>
      </w:pPr>
      <w:r w:rsidRPr="007D44E0">
        <w:rPr>
          <w:i/>
          <w:iCs/>
        </w:rPr>
        <w:t>L</w:t>
      </w:r>
      <w:r w:rsidR="007D44E0" w:rsidRPr="007D44E0">
        <w:rPr>
          <w:i/>
          <w:iCs/>
        </w:rPr>
        <w:t>ocal Government Regulations 2012</w:t>
      </w:r>
    </w:p>
    <w:p w14:paraId="059C1EF2" w14:textId="0777955B" w:rsidR="00586726" w:rsidRDefault="00586726" w:rsidP="00586726">
      <w:r w:rsidRPr="00586726">
        <w:t>Queensland</w:t>
      </w:r>
      <w:r>
        <w:t xml:space="preserve"> </w:t>
      </w:r>
      <w:r w:rsidRPr="00586726">
        <w:t>Competition Authority</w:t>
      </w:r>
    </w:p>
    <w:p w14:paraId="2C370AA5" w14:textId="1B8521DD" w:rsidR="00586726" w:rsidRDefault="00586726" w:rsidP="00586726">
      <w:r w:rsidRPr="00586726">
        <w:t>Handbook: Making a competitive neutrality</w:t>
      </w:r>
      <w:r>
        <w:t xml:space="preserve"> </w:t>
      </w:r>
      <w:r w:rsidRPr="00586726">
        <w:t>complaint to the Queensland</w:t>
      </w:r>
      <w:r>
        <w:t xml:space="preserve"> </w:t>
      </w:r>
      <w:r w:rsidRPr="00586726">
        <w:t>Competition Authority</w:t>
      </w:r>
    </w:p>
    <w:p w14:paraId="1838B4DE" w14:textId="3EC185AC" w:rsidR="00505114" w:rsidRDefault="00505114" w:rsidP="00505114">
      <w:pPr>
        <w:pStyle w:val="Heading1"/>
      </w:pPr>
      <w:r>
        <w:t>References</w:t>
      </w:r>
    </w:p>
    <w:p w14:paraId="7C4B85CB" w14:textId="36EC94E0" w:rsidR="00505114" w:rsidRDefault="00505114" w:rsidP="00D76C14">
      <w:pPr>
        <w:spacing w:after="0" w:line="240" w:lineRule="auto"/>
        <w:rPr>
          <w:rFonts w:ascii="Angsana New" w:hAnsi="Angsana New" w:cs="Angsana New"/>
        </w:rPr>
      </w:pPr>
    </w:p>
    <w:tbl>
      <w:tblPr>
        <w:tblStyle w:val="TableGrid"/>
        <w:tblW w:w="0" w:type="auto"/>
        <w:tblLook w:val="04A0" w:firstRow="1" w:lastRow="0" w:firstColumn="1" w:lastColumn="0" w:noHBand="0" w:noVBand="1"/>
      </w:tblPr>
      <w:tblGrid>
        <w:gridCol w:w="2547"/>
        <w:gridCol w:w="6469"/>
      </w:tblGrid>
      <w:tr w:rsidR="00505114" w:rsidRPr="00505114" w14:paraId="78AD1962" w14:textId="77777777" w:rsidTr="00505114">
        <w:tc>
          <w:tcPr>
            <w:tcW w:w="2547" w:type="dxa"/>
          </w:tcPr>
          <w:p w14:paraId="4EBE9677" w14:textId="33F995AA" w:rsidR="00505114" w:rsidRPr="00505114" w:rsidRDefault="00505114" w:rsidP="00505114">
            <w:pPr>
              <w:rPr>
                <w:b/>
                <w:bCs/>
              </w:rPr>
            </w:pPr>
            <w:r w:rsidRPr="00505114">
              <w:rPr>
                <w:b/>
                <w:bCs/>
              </w:rPr>
              <w:t>Doc Reference</w:t>
            </w:r>
          </w:p>
        </w:tc>
        <w:tc>
          <w:tcPr>
            <w:tcW w:w="6469" w:type="dxa"/>
          </w:tcPr>
          <w:p w14:paraId="009F41D4" w14:textId="2FBAA787" w:rsidR="00505114" w:rsidRPr="00505114" w:rsidRDefault="00505114" w:rsidP="00505114">
            <w:pPr>
              <w:rPr>
                <w:b/>
                <w:bCs/>
              </w:rPr>
            </w:pPr>
            <w:r w:rsidRPr="00505114">
              <w:rPr>
                <w:b/>
                <w:bCs/>
              </w:rPr>
              <w:t>Document Name</w:t>
            </w:r>
          </w:p>
        </w:tc>
      </w:tr>
      <w:tr w:rsidR="00505114" w14:paraId="366E0DB1" w14:textId="77777777" w:rsidTr="00505114">
        <w:tc>
          <w:tcPr>
            <w:tcW w:w="2547" w:type="dxa"/>
          </w:tcPr>
          <w:p w14:paraId="23B3CDB9" w14:textId="77777777" w:rsidR="00505114" w:rsidRDefault="00505114" w:rsidP="00505114"/>
        </w:tc>
        <w:tc>
          <w:tcPr>
            <w:tcW w:w="6469" w:type="dxa"/>
          </w:tcPr>
          <w:p w14:paraId="43E800A8" w14:textId="71184EA0" w:rsidR="007D0DCE" w:rsidRPr="007D0DCE" w:rsidRDefault="00505114" w:rsidP="00505114">
            <w:pPr>
              <w:rPr>
                <w:color w:val="ED7D31" w:themeColor="accent2"/>
              </w:rPr>
            </w:pPr>
            <w:r w:rsidRPr="00505114">
              <w:rPr>
                <w:color w:val="ED7D31" w:themeColor="accent2"/>
              </w:rPr>
              <w:t>Refer to any other relevant policies/procedures/forms</w:t>
            </w:r>
            <w:r w:rsidR="007D0DCE">
              <w:rPr>
                <w:color w:val="ED7D31" w:themeColor="accent2"/>
              </w:rPr>
              <w:t xml:space="preserve"> </w:t>
            </w:r>
          </w:p>
        </w:tc>
      </w:tr>
      <w:tr w:rsidR="00505114" w14:paraId="76EE333B" w14:textId="77777777" w:rsidTr="00505114">
        <w:tc>
          <w:tcPr>
            <w:tcW w:w="2547" w:type="dxa"/>
          </w:tcPr>
          <w:p w14:paraId="669ACCCB" w14:textId="77777777" w:rsidR="00505114" w:rsidRDefault="00505114" w:rsidP="00505114"/>
        </w:tc>
        <w:tc>
          <w:tcPr>
            <w:tcW w:w="6469" w:type="dxa"/>
          </w:tcPr>
          <w:p w14:paraId="5BAF80D4" w14:textId="77777777" w:rsidR="00505114" w:rsidRDefault="00505114" w:rsidP="00505114"/>
        </w:tc>
      </w:tr>
      <w:tr w:rsidR="00505114" w14:paraId="5D96D073" w14:textId="77777777" w:rsidTr="00505114">
        <w:tc>
          <w:tcPr>
            <w:tcW w:w="2547" w:type="dxa"/>
          </w:tcPr>
          <w:p w14:paraId="648AE4C5" w14:textId="77777777" w:rsidR="00505114" w:rsidRDefault="00505114" w:rsidP="00505114"/>
        </w:tc>
        <w:tc>
          <w:tcPr>
            <w:tcW w:w="6469" w:type="dxa"/>
          </w:tcPr>
          <w:p w14:paraId="3F7744CA" w14:textId="77777777" w:rsidR="00505114" w:rsidRDefault="00505114" w:rsidP="00505114"/>
        </w:tc>
      </w:tr>
    </w:tbl>
    <w:p w14:paraId="2D181896" w14:textId="77777777" w:rsidR="00505114" w:rsidRDefault="00505114" w:rsidP="00505114"/>
    <w:p w14:paraId="26D2D561" w14:textId="7858B96C" w:rsidR="004250E3" w:rsidRPr="00D76C14" w:rsidRDefault="004250E3" w:rsidP="00D76C14">
      <w:pPr>
        <w:spacing w:after="0" w:line="240" w:lineRule="auto"/>
        <w:rPr>
          <w:rFonts w:ascii="Angsana New" w:hAnsi="Angsana New" w:cs="Angsana New"/>
        </w:rPr>
      </w:pPr>
      <w:r w:rsidRPr="00D76C14">
        <w:rPr>
          <w:rFonts w:ascii="Angsana New" w:hAnsi="Angsana New" w:cs="Angsana New" w:hint="cs"/>
        </w:rPr>
        <w:br w:type="page"/>
      </w:r>
    </w:p>
    <w:p w14:paraId="7F70B3BD" w14:textId="77777777" w:rsidR="006200B6" w:rsidRPr="006200B6" w:rsidRDefault="006200B6" w:rsidP="006200B6">
      <w:pPr>
        <w:pStyle w:val="Heading1"/>
        <w:jc w:val="center"/>
        <w:rPr>
          <w:b/>
          <w:bCs/>
          <w:color w:val="ED7D31" w:themeColor="accent2"/>
        </w:rPr>
      </w:pPr>
      <w:r w:rsidRPr="006200B6">
        <w:rPr>
          <w:b/>
          <w:bCs/>
          <w:color w:val="ED7D31" w:themeColor="accent2"/>
        </w:rPr>
        <w:lastRenderedPageBreak/>
        <w:t>TEMPLATE</w:t>
      </w:r>
    </w:p>
    <w:p w14:paraId="484EAAC3" w14:textId="6A8B5CB6" w:rsidR="00CE0EFE" w:rsidRPr="00B7281E" w:rsidRDefault="00CE0EFE" w:rsidP="006200B6">
      <w:pPr>
        <w:pStyle w:val="Heading1"/>
        <w:jc w:val="center"/>
        <w:rPr>
          <w:b/>
          <w:bCs/>
        </w:rPr>
      </w:pPr>
      <w:r>
        <w:rPr>
          <w:b/>
          <w:bCs/>
        </w:rPr>
        <w:t>PRELIMINARY REVIEW REQUEST - COMPETITIVE NEUTRALITY COMPLAINT</w:t>
      </w:r>
    </w:p>
    <w:p w14:paraId="0CF9E804" w14:textId="77777777" w:rsidR="00CE0EFE" w:rsidRPr="004250E3" w:rsidRDefault="00CE0EFE" w:rsidP="00CE0EFE">
      <w:pPr>
        <w:rPr>
          <w:color w:val="ED7D31" w:themeColor="accent2"/>
        </w:rPr>
      </w:pPr>
      <w:r w:rsidRPr="004250E3">
        <w:rPr>
          <w:color w:val="ED7D31" w:themeColor="accent2"/>
        </w:rPr>
        <w:t>&lt;Insert Council’s privacy statement and/or collection notice&gt;</w:t>
      </w:r>
    </w:p>
    <w:p w14:paraId="6A468784" w14:textId="77777777" w:rsidR="00CE0EFE" w:rsidRDefault="00CE0EFE" w:rsidP="00CE0EFE">
      <w:r>
        <w:t xml:space="preserve">The </w:t>
      </w:r>
      <w:r w:rsidRPr="00327D34">
        <w:rPr>
          <w:i/>
          <w:iCs/>
        </w:rPr>
        <w:t>Local Government Act 2009</w:t>
      </w:r>
      <w:r>
        <w:t xml:space="preserve"> (LGA) (s48) states that a Competitive Neutrality Complaint is property made if it:</w:t>
      </w:r>
    </w:p>
    <w:p w14:paraId="2EC9B749" w14:textId="77777777" w:rsidR="00CE0EFE" w:rsidRDefault="00CE0EFE" w:rsidP="00CE0EFE">
      <w:pPr>
        <w:pStyle w:val="ListParagraph"/>
        <w:numPr>
          <w:ilvl w:val="0"/>
          <w:numId w:val="7"/>
        </w:numPr>
      </w:pPr>
      <w:r>
        <w:t xml:space="preserve">relates to the failure of a local government to conduct a business activity in accordance with the competitive neutrality principle; </w:t>
      </w:r>
      <w:r w:rsidRPr="00327D34">
        <w:rPr>
          <w:b/>
          <w:bCs/>
        </w:rPr>
        <w:t>and</w:t>
      </w:r>
    </w:p>
    <w:p w14:paraId="0B892751" w14:textId="77777777" w:rsidR="00CE0EFE" w:rsidRDefault="00CE0EFE" w:rsidP="00CE0EFE">
      <w:pPr>
        <w:pStyle w:val="ListParagraph"/>
        <w:numPr>
          <w:ilvl w:val="0"/>
          <w:numId w:val="7"/>
        </w:numPr>
      </w:pPr>
      <w:r>
        <w:t>is made by the affected person.</w:t>
      </w:r>
    </w:p>
    <w:p w14:paraId="6238DA19" w14:textId="02E9A9F3" w:rsidR="00CE0EFE" w:rsidRDefault="00CE0EFE" w:rsidP="00CE0EFE">
      <w:r>
        <w:t>Council is committed to early resolution of and/or clarifying Competitive Neutrality concerns</w:t>
      </w:r>
      <w:r w:rsidR="00101726">
        <w:t xml:space="preserve"> in an informal manner by undertaking a preliminary review</w:t>
      </w:r>
      <w:r>
        <w:t>.  Before making a formal complaint concerning Council’s alleged breach of the principles of competitive neutrality, this form has been developed to capture relevant initial information to assist preliminary investigations.</w:t>
      </w:r>
    </w:p>
    <w:p w14:paraId="39A852B5" w14:textId="66F721D9" w:rsidR="00101726" w:rsidRDefault="00101726" w:rsidP="00CE0EFE">
      <w:r>
        <w:t xml:space="preserve">Officers may be in contact to request further information when conducting their investigation and preparing their report for the Chief Executive Officer, or their delegates, </w:t>
      </w:r>
      <w:r w:rsidR="00DC5D0D">
        <w:t>consideration for a written response.</w:t>
      </w:r>
    </w:p>
    <w:p w14:paraId="38D12422" w14:textId="77777777" w:rsidR="00DC5D0D" w:rsidRPr="00261E89" w:rsidRDefault="00DC5D0D" w:rsidP="00DC5D0D">
      <w:pPr>
        <w:pStyle w:val="Heading2"/>
      </w:pPr>
      <w:r w:rsidRPr="00261E89">
        <w:t xml:space="preserve">Contact details </w:t>
      </w:r>
    </w:p>
    <w:tbl>
      <w:tblPr>
        <w:tblStyle w:val="TableGrid"/>
        <w:tblW w:w="0" w:type="auto"/>
        <w:tblLook w:val="04A0" w:firstRow="1" w:lastRow="0" w:firstColumn="1" w:lastColumn="0" w:noHBand="0" w:noVBand="1"/>
      </w:tblPr>
      <w:tblGrid>
        <w:gridCol w:w="2122"/>
        <w:gridCol w:w="6894"/>
      </w:tblGrid>
      <w:tr w:rsidR="00DC5D0D" w14:paraId="4DD2A575" w14:textId="77777777" w:rsidTr="00504E8F">
        <w:tc>
          <w:tcPr>
            <w:tcW w:w="2122" w:type="dxa"/>
          </w:tcPr>
          <w:p w14:paraId="4A640AE9" w14:textId="77777777" w:rsidR="00DC5D0D" w:rsidRDefault="00DC5D0D" w:rsidP="00504E8F">
            <w:r>
              <w:t>Name:</w:t>
            </w:r>
          </w:p>
        </w:tc>
        <w:tc>
          <w:tcPr>
            <w:tcW w:w="6894" w:type="dxa"/>
          </w:tcPr>
          <w:p w14:paraId="7B036F52" w14:textId="77777777" w:rsidR="00DC5D0D" w:rsidRDefault="00DC5D0D" w:rsidP="00504E8F"/>
        </w:tc>
      </w:tr>
      <w:tr w:rsidR="00DC5D0D" w14:paraId="27FA237A" w14:textId="77777777" w:rsidTr="00504E8F">
        <w:tc>
          <w:tcPr>
            <w:tcW w:w="2122" w:type="dxa"/>
          </w:tcPr>
          <w:p w14:paraId="25225F55" w14:textId="77777777" w:rsidR="00DC5D0D" w:rsidRDefault="00DC5D0D" w:rsidP="00504E8F">
            <w:r>
              <w:t>Email:</w:t>
            </w:r>
          </w:p>
        </w:tc>
        <w:tc>
          <w:tcPr>
            <w:tcW w:w="6894" w:type="dxa"/>
          </w:tcPr>
          <w:p w14:paraId="32B013F3" w14:textId="77777777" w:rsidR="00DC5D0D" w:rsidRDefault="00DC5D0D" w:rsidP="00504E8F"/>
        </w:tc>
      </w:tr>
      <w:tr w:rsidR="00DC5D0D" w14:paraId="31118E81" w14:textId="77777777" w:rsidTr="00504E8F">
        <w:tc>
          <w:tcPr>
            <w:tcW w:w="2122" w:type="dxa"/>
            <w:vMerge w:val="restart"/>
          </w:tcPr>
          <w:p w14:paraId="422FBCC3" w14:textId="77777777" w:rsidR="00DC5D0D" w:rsidRDefault="00DC5D0D" w:rsidP="00504E8F">
            <w:r>
              <w:t>Address</w:t>
            </w:r>
          </w:p>
        </w:tc>
        <w:tc>
          <w:tcPr>
            <w:tcW w:w="6894" w:type="dxa"/>
          </w:tcPr>
          <w:p w14:paraId="3C695C95" w14:textId="77777777" w:rsidR="00DC5D0D" w:rsidRDefault="00DC5D0D" w:rsidP="00504E8F"/>
        </w:tc>
      </w:tr>
      <w:tr w:rsidR="00DC5D0D" w14:paraId="1A9B0E6C" w14:textId="77777777" w:rsidTr="00504E8F">
        <w:tc>
          <w:tcPr>
            <w:tcW w:w="2122" w:type="dxa"/>
            <w:vMerge/>
          </w:tcPr>
          <w:p w14:paraId="0994C48E" w14:textId="77777777" w:rsidR="00DC5D0D" w:rsidRDefault="00DC5D0D" w:rsidP="00504E8F"/>
        </w:tc>
        <w:tc>
          <w:tcPr>
            <w:tcW w:w="6894" w:type="dxa"/>
          </w:tcPr>
          <w:p w14:paraId="2B453F53" w14:textId="77777777" w:rsidR="00DC5D0D" w:rsidRDefault="00DC5D0D" w:rsidP="00504E8F"/>
        </w:tc>
      </w:tr>
      <w:tr w:rsidR="00DC5D0D" w14:paraId="5215B9D5" w14:textId="77777777" w:rsidTr="00504E8F">
        <w:tc>
          <w:tcPr>
            <w:tcW w:w="2122" w:type="dxa"/>
          </w:tcPr>
          <w:p w14:paraId="498512B6" w14:textId="77777777" w:rsidR="00DC5D0D" w:rsidRDefault="00DC5D0D" w:rsidP="00504E8F">
            <w:r>
              <w:t>Phone:</w:t>
            </w:r>
          </w:p>
        </w:tc>
        <w:tc>
          <w:tcPr>
            <w:tcW w:w="6894" w:type="dxa"/>
          </w:tcPr>
          <w:p w14:paraId="112BA2EB" w14:textId="77777777" w:rsidR="00DC5D0D" w:rsidRDefault="00DC5D0D" w:rsidP="00504E8F"/>
        </w:tc>
      </w:tr>
      <w:tr w:rsidR="00DC5D0D" w14:paraId="786C8E07" w14:textId="77777777" w:rsidTr="00504E8F">
        <w:tc>
          <w:tcPr>
            <w:tcW w:w="2122" w:type="dxa"/>
          </w:tcPr>
          <w:p w14:paraId="2686FD84" w14:textId="77777777" w:rsidR="00DC5D0D" w:rsidRDefault="00DC5D0D" w:rsidP="00504E8F">
            <w:r>
              <w:t>Name of Business</w:t>
            </w:r>
          </w:p>
        </w:tc>
        <w:tc>
          <w:tcPr>
            <w:tcW w:w="6894" w:type="dxa"/>
          </w:tcPr>
          <w:p w14:paraId="23B88254" w14:textId="77777777" w:rsidR="00DC5D0D" w:rsidRDefault="00DC5D0D" w:rsidP="00504E8F"/>
        </w:tc>
      </w:tr>
      <w:tr w:rsidR="00DC5D0D" w14:paraId="63B63ACE" w14:textId="77777777" w:rsidTr="00504E8F">
        <w:tc>
          <w:tcPr>
            <w:tcW w:w="2122" w:type="dxa"/>
          </w:tcPr>
          <w:p w14:paraId="7791A79D" w14:textId="77777777" w:rsidR="00DC5D0D" w:rsidRDefault="00DC5D0D" w:rsidP="00504E8F">
            <w:r>
              <w:t>Address of Business</w:t>
            </w:r>
          </w:p>
        </w:tc>
        <w:tc>
          <w:tcPr>
            <w:tcW w:w="6894" w:type="dxa"/>
          </w:tcPr>
          <w:p w14:paraId="29D822A7" w14:textId="77777777" w:rsidR="00DC5D0D" w:rsidRDefault="00DC5D0D" w:rsidP="00504E8F"/>
        </w:tc>
      </w:tr>
    </w:tbl>
    <w:p w14:paraId="60FADE61" w14:textId="77777777" w:rsidR="00DC5D0D" w:rsidRDefault="00DC5D0D" w:rsidP="00DC5D0D"/>
    <w:p w14:paraId="13321E83" w14:textId="6178DC37" w:rsidR="00DC5D0D" w:rsidRPr="00261E89" w:rsidRDefault="00DC5D0D" w:rsidP="00DC5D0D">
      <w:pPr>
        <w:pStyle w:val="Heading2"/>
      </w:pPr>
      <w:r w:rsidRPr="00261E89">
        <w:t xml:space="preserve">Describe the business activity </w:t>
      </w:r>
      <w:r>
        <w:t>that relates to your complaint</w:t>
      </w:r>
    </w:p>
    <w:tbl>
      <w:tblPr>
        <w:tblStyle w:val="TableGrid"/>
        <w:tblW w:w="0" w:type="auto"/>
        <w:tblLook w:val="04A0" w:firstRow="1" w:lastRow="0" w:firstColumn="1" w:lastColumn="0" w:noHBand="0" w:noVBand="1"/>
      </w:tblPr>
      <w:tblGrid>
        <w:gridCol w:w="9016"/>
      </w:tblGrid>
      <w:tr w:rsidR="00DC5D0D" w14:paraId="3567BE4F" w14:textId="77777777" w:rsidTr="00DC5D0D">
        <w:trPr>
          <w:trHeight w:val="564"/>
        </w:trPr>
        <w:tc>
          <w:tcPr>
            <w:tcW w:w="9016" w:type="dxa"/>
          </w:tcPr>
          <w:p w14:paraId="04C930F4" w14:textId="77777777" w:rsidR="00DC5D0D" w:rsidRDefault="00DC5D0D" w:rsidP="00504E8F"/>
        </w:tc>
      </w:tr>
    </w:tbl>
    <w:p w14:paraId="67FCA2FB" w14:textId="77777777" w:rsidR="00DC5D0D" w:rsidRDefault="00DC5D0D" w:rsidP="00DC5D0D"/>
    <w:p w14:paraId="09FF3859" w14:textId="370A9636" w:rsidR="00DC5D0D" w:rsidRPr="00261E89" w:rsidRDefault="00DC5D0D" w:rsidP="00DC5D0D">
      <w:pPr>
        <w:pStyle w:val="Heading2"/>
      </w:pPr>
      <w:r>
        <w:t>Please detail how you and/or your business is adversely affected by this business activity (i.e. what are your concerns)</w:t>
      </w:r>
    </w:p>
    <w:tbl>
      <w:tblPr>
        <w:tblStyle w:val="TableGrid"/>
        <w:tblW w:w="0" w:type="auto"/>
        <w:tblLook w:val="04A0" w:firstRow="1" w:lastRow="0" w:firstColumn="1" w:lastColumn="0" w:noHBand="0" w:noVBand="1"/>
      </w:tblPr>
      <w:tblGrid>
        <w:gridCol w:w="9016"/>
      </w:tblGrid>
      <w:tr w:rsidR="00DC5D0D" w14:paraId="5CBDEA5F" w14:textId="77777777" w:rsidTr="00504E8F">
        <w:trPr>
          <w:trHeight w:val="564"/>
        </w:trPr>
        <w:tc>
          <w:tcPr>
            <w:tcW w:w="9016" w:type="dxa"/>
          </w:tcPr>
          <w:p w14:paraId="1F2154C6" w14:textId="77777777" w:rsidR="00DC5D0D" w:rsidRDefault="00DC5D0D" w:rsidP="00504E8F"/>
        </w:tc>
      </w:tr>
    </w:tbl>
    <w:p w14:paraId="7CD5326C" w14:textId="31445B3E" w:rsidR="00DC5D0D" w:rsidRDefault="00DC5D0D" w:rsidP="00DC5D0D"/>
    <w:p w14:paraId="451C16AF" w14:textId="15B0A218" w:rsidR="00DC5D0D" w:rsidRPr="00261E89" w:rsidRDefault="00DC5D0D" w:rsidP="00DC5D0D">
      <w:pPr>
        <w:pStyle w:val="Heading2"/>
      </w:pPr>
      <w:r>
        <w:t>Please detail the principles of competitive neutrality that are allegedly compromised by this business activity</w:t>
      </w:r>
      <w:r w:rsidR="00905B73">
        <w:t xml:space="preserve"> (e.g. financial, procedural, regulatory)</w:t>
      </w:r>
    </w:p>
    <w:tbl>
      <w:tblPr>
        <w:tblStyle w:val="TableGrid"/>
        <w:tblW w:w="0" w:type="auto"/>
        <w:tblLook w:val="04A0" w:firstRow="1" w:lastRow="0" w:firstColumn="1" w:lastColumn="0" w:noHBand="0" w:noVBand="1"/>
      </w:tblPr>
      <w:tblGrid>
        <w:gridCol w:w="9016"/>
      </w:tblGrid>
      <w:tr w:rsidR="00DC5D0D" w14:paraId="2D4C6E1D" w14:textId="77777777" w:rsidTr="00504E8F">
        <w:trPr>
          <w:trHeight w:val="564"/>
        </w:trPr>
        <w:tc>
          <w:tcPr>
            <w:tcW w:w="9016" w:type="dxa"/>
          </w:tcPr>
          <w:p w14:paraId="619F09EB" w14:textId="77777777" w:rsidR="00DC5D0D" w:rsidRDefault="00DC5D0D" w:rsidP="00504E8F"/>
        </w:tc>
      </w:tr>
    </w:tbl>
    <w:p w14:paraId="68291E08" w14:textId="77777777" w:rsidR="00DC5D0D" w:rsidRDefault="00DC5D0D" w:rsidP="00DC5D0D"/>
    <w:p w14:paraId="1EB24F70" w14:textId="77777777" w:rsidR="00032ACB" w:rsidRPr="00600CC1" w:rsidRDefault="00032ACB" w:rsidP="00032ACB">
      <w:pPr>
        <w:pStyle w:val="Heading1"/>
        <w:rPr>
          <w:b/>
          <w:bCs/>
        </w:rPr>
      </w:pPr>
      <w:r w:rsidRPr="00600CC1">
        <w:rPr>
          <w:b/>
          <w:bCs/>
        </w:rPr>
        <w:lastRenderedPageBreak/>
        <w:t>AUTHORISATION:</w:t>
      </w:r>
    </w:p>
    <w:p w14:paraId="399E4EB5" w14:textId="77777777" w:rsidR="00032ACB" w:rsidRDefault="00032ACB" w:rsidP="00032ACB">
      <w:r>
        <w:t xml:space="preserve">I am the duly authorised person </w:t>
      </w:r>
      <w:r w:rsidRPr="00600CC1">
        <w:t xml:space="preserve">to </w:t>
      </w:r>
      <w:r>
        <w:t xml:space="preserve">complete and sign this complaint form.  I confirm that all the information provided in, or attached to, this form is correct.  </w:t>
      </w:r>
    </w:p>
    <w:tbl>
      <w:tblPr>
        <w:tblStyle w:val="TableGrid"/>
        <w:tblW w:w="0" w:type="auto"/>
        <w:tblLook w:val="04A0" w:firstRow="1" w:lastRow="0" w:firstColumn="1" w:lastColumn="0" w:noHBand="0" w:noVBand="1"/>
      </w:tblPr>
      <w:tblGrid>
        <w:gridCol w:w="3099"/>
        <w:gridCol w:w="2789"/>
        <w:gridCol w:w="3128"/>
      </w:tblGrid>
      <w:tr w:rsidR="00032ACB" w14:paraId="28287E80" w14:textId="77777777" w:rsidTr="00504E8F">
        <w:tc>
          <w:tcPr>
            <w:tcW w:w="3099" w:type="dxa"/>
          </w:tcPr>
          <w:p w14:paraId="093E597D" w14:textId="77777777" w:rsidR="00032ACB" w:rsidRDefault="00032ACB" w:rsidP="00504E8F"/>
        </w:tc>
        <w:tc>
          <w:tcPr>
            <w:tcW w:w="2789" w:type="dxa"/>
          </w:tcPr>
          <w:p w14:paraId="37FBBAD2" w14:textId="77777777" w:rsidR="00032ACB" w:rsidRDefault="00032ACB" w:rsidP="00504E8F"/>
          <w:p w14:paraId="4F3ADCC9" w14:textId="77777777" w:rsidR="00032ACB" w:rsidRDefault="00032ACB" w:rsidP="00504E8F"/>
        </w:tc>
        <w:tc>
          <w:tcPr>
            <w:tcW w:w="3128" w:type="dxa"/>
          </w:tcPr>
          <w:p w14:paraId="2034E456" w14:textId="77777777" w:rsidR="00032ACB" w:rsidRDefault="00032ACB" w:rsidP="00504E8F"/>
        </w:tc>
      </w:tr>
      <w:tr w:rsidR="00032ACB" w14:paraId="75219054" w14:textId="77777777" w:rsidTr="00504E8F">
        <w:tc>
          <w:tcPr>
            <w:tcW w:w="3099" w:type="dxa"/>
          </w:tcPr>
          <w:p w14:paraId="3489C460" w14:textId="77777777" w:rsidR="00032ACB" w:rsidRPr="003B3F30" w:rsidRDefault="00032ACB" w:rsidP="00504E8F">
            <w:pPr>
              <w:jc w:val="center"/>
              <w:rPr>
                <w:b/>
                <w:bCs/>
              </w:rPr>
            </w:pPr>
            <w:r w:rsidRPr="003B3F30">
              <w:rPr>
                <w:b/>
                <w:bCs/>
              </w:rPr>
              <w:t>Name</w:t>
            </w:r>
          </w:p>
        </w:tc>
        <w:tc>
          <w:tcPr>
            <w:tcW w:w="2789" w:type="dxa"/>
          </w:tcPr>
          <w:p w14:paraId="243F627B" w14:textId="77777777" w:rsidR="00032ACB" w:rsidRPr="003B3F30" w:rsidRDefault="00032ACB" w:rsidP="00504E8F">
            <w:pPr>
              <w:jc w:val="center"/>
              <w:rPr>
                <w:b/>
                <w:bCs/>
              </w:rPr>
            </w:pPr>
            <w:r w:rsidRPr="003B3F30">
              <w:rPr>
                <w:b/>
                <w:bCs/>
              </w:rPr>
              <w:t>Position</w:t>
            </w:r>
          </w:p>
        </w:tc>
        <w:tc>
          <w:tcPr>
            <w:tcW w:w="3128" w:type="dxa"/>
          </w:tcPr>
          <w:p w14:paraId="2EB1C6BA" w14:textId="77777777" w:rsidR="00032ACB" w:rsidRPr="003B3F30" w:rsidRDefault="00032ACB" w:rsidP="00504E8F">
            <w:pPr>
              <w:jc w:val="center"/>
              <w:rPr>
                <w:b/>
                <w:bCs/>
              </w:rPr>
            </w:pPr>
            <w:r w:rsidRPr="003B3F30">
              <w:rPr>
                <w:b/>
                <w:bCs/>
              </w:rPr>
              <w:t>Signature</w:t>
            </w:r>
          </w:p>
        </w:tc>
      </w:tr>
      <w:tr w:rsidR="00032ACB" w14:paraId="5A5FC9F0" w14:textId="77777777" w:rsidTr="00504E8F">
        <w:tc>
          <w:tcPr>
            <w:tcW w:w="3099" w:type="dxa"/>
          </w:tcPr>
          <w:p w14:paraId="23AAE0A7" w14:textId="77777777" w:rsidR="00032ACB" w:rsidRPr="003B3F30" w:rsidRDefault="00032ACB" w:rsidP="00504E8F">
            <w:pPr>
              <w:jc w:val="right"/>
              <w:rPr>
                <w:b/>
                <w:bCs/>
              </w:rPr>
            </w:pPr>
            <w:r w:rsidRPr="003B3F30">
              <w:rPr>
                <w:b/>
                <w:bCs/>
              </w:rPr>
              <w:t>Business Name:</w:t>
            </w:r>
          </w:p>
        </w:tc>
        <w:tc>
          <w:tcPr>
            <w:tcW w:w="5917" w:type="dxa"/>
            <w:gridSpan w:val="2"/>
          </w:tcPr>
          <w:p w14:paraId="6D791D23" w14:textId="77777777" w:rsidR="00032ACB" w:rsidRDefault="00032ACB" w:rsidP="00504E8F"/>
        </w:tc>
      </w:tr>
    </w:tbl>
    <w:p w14:paraId="7FB81171" w14:textId="38898089" w:rsidR="002A75B6" w:rsidRPr="0052514D" w:rsidRDefault="002A75B6">
      <w:pPr>
        <w:rPr>
          <w:rFonts w:asciiTheme="majorHAnsi" w:eastAsiaTheme="majorEastAsia" w:hAnsiTheme="majorHAnsi" w:cstheme="majorBidi"/>
          <w:b/>
          <w:bCs/>
          <w:color w:val="2F5496" w:themeColor="accent1" w:themeShade="BF"/>
          <w:sz w:val="32"/>
          <w:szCs w:val="32"/>
        </w:rPr>
      </w:pPr>
      <w:r>
        <w:br w:type="page"/>
      </w:r>
    </w:p>
    <w:p w14:paraId="2D0EE43C" w14:textId="088C6857" w:rsidR="002A75B6" w:rsidRPr="00B7281E" w:rsidRDefault="00795AAB" w:rsidP="002A75B6">
      <w:pPr>
        <w:pStyle w:val="Heading1"/>
        <w:rPr>
          <w:b/>
          <w:bCs/>
        </w:rPr>
      </w:pPr>
      <w:r>
        <w:rPr>
          <w:b/>
          <w:bCs/>
          <w:noProof/>
        </w:rPr>
        <w:lastRenderedPageBreak/>
        <mc:AlternateContent>
          <mc:Choice Requires="wps">
            <w:drawing>
              <wp:anchor distT="0" distB="0" distL="114300" distR="114300" simplePos="0" relativeHeight="251660288" behindDoc="0" locked="0" layoutInCell="1" allowOverlap="1" wp14:anchorId="0D8B8263" wp14:editId="30082A0D">
                <wp:simplePos x="0" y="0"/>
                <wp:positionH relativeFrom="column">
                  <wp:posOffset>3792717</wp:posOffset>
                </wp:positionH>
                <wp:positionV relativeFrom="paragraph">
                  <wp:posOffset>-572660</wp:posOffset>
                </wp:positionV>
                <wp:extent cx="2065600" cy="882594"/>
                <wp:effectExtent l="0" t="0" r="11430" b="127635"/>
                <wp:wrapNone/>
                <wp:docPr id="3" name="Speech Bubble: Rectangle 3"/>
                <wp:cNvGraphicFramePr/>
                <a:graphic xmlns:a="http://schemas.openxmlformats.org/drawingml/2006/main">
                  <a:graphicData uri="http://schemas.microsoft.com/office/word/2010/wordprocessingShape">
                    <wps:wsp>
                      <wps:cNvSpPr/>
                      <wps:spPr>
                        <a:xfrm>
                          <a:off x="0" y="0"/>
                          <a:ext cx="2065600" cy="882594"/>
                        </a:xfrm>
                        <a:prstGeom prst="wedgeRectCallou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72F5B6" w14:textId="2EB16FB0" w:rsidR="00795AAB" w:rsidRDefault="00795AAB" w:rsidP="00795AAB">
                            <w:pPr>
                              <w:jc w:val="center"/>
                            </w:pPr>
                            <w:r>
                              <w:t>This wording can form the basis of your competitive neutrality complaint process to meet legislation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B826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3" o:spid="_x0000_s1027" type="#_x0000_t61" style="position:absolute;margin-left:298.65pt;margin-top:-45.1pt;width:162.65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" adj="6300,24300" fillcolor="#ed7d31 [3205]" strokecolor="#1f3763 [1604]" strokeweight="1pt">
                <v:textbox>
                  <w:txbxContent>
                    <w:p w14:paraId="4F72F5B6" w14:textId="2EB16FB0" w:rsidR="00795AAB" w:rsidRDefault="00795AAB" w:rsidP="00795AAB">
                      <w:pPr>
                        <w:jc w:val="center"/>
                      </w:pPr>
                      <w:r>
                        <w:t>This wording can form the basis of your competitive neutrality complaint process to meet legislation</w:t>
                      </w:r>
                    </w:p>
                  </w:txbxContent>
                </v:textbox>
              </v:shape>
            </w:pict>
          </mc:Fallback>
        </mc:AlternateContent>
      </w:r>
      <w:r w:rsidR="002A75B6">
        <w:rPr>
          <w:b/>
          <w:bCs/>
        </w:rPr>
        <w:t>WEBSITE PAGE – SUGGESTED WORDING</w:t>
      </w:r>
    </w:p>
    <w:p w14:paraId="6D12CD1C" w14:textId="29AE3CD0" w:rsidR="002A75B6" w:rsidRPr="00347ADB" w:rsidRDefault="002A75B6" w:rsidP="002A75B6">
      <w:pPr>
        <w:pStyle w:val="Heading3"/>
        <w:rPr>
          <w:b/>
          <w:bCs/>
        </w:rPr>
      </w:pPr>
      <w:r w:rsidRPr="00347ADB">
        <w:rPr>
          <w:b/>
          <w:bCs/>
        </w:rPr>
        <w:t>Competitive Neutrality Complaint</w:t>
      </w:r>
      <w:r w:rsidR="00BC5F42" w:rsidRPr="00347ADB">
        <w:rPr>
          <w:b/>
          <w:bCs/>
        </w:rPr>
        <w:t>s</w:t>
      </w:r>
    </w:p>
    <w:p w14:paraId="0553A72F" w14:textId="009B8885" w:rsidR="002A75B6" w:rsidRPr="00BC5F42" w:rsidRDefault="002A75B6" w:rsidP="00BC5F42">
      <w:r w:rsidRPr="00BC5F42">
        <w:t>Council may undertake a business activity involving the supply of goods and/or services in competition, or potential competition, with the private sector.</w:t>
      </w:r>
    </w:p>
    <w:p w14:paraId="75415ADC" w14:textId="6C79585B" w:rsidR="002A75B6" w:rsidRPr="00BC5F42" w:rsidRDefault="002A75B6" w:rsidP="00BC5F42">
      <w:r w:rsidRPr="00BC5F42">
        <w:t>A competitive neutrality complaint is made by an affected person that Council has failed to conduct a business activity in accordance with the competitive neutrality principle, e.g. by utilising its position to compete unfairly with a business competitor.</w:t>
      </w:r>
    </w:p>
    <w:p w14:paraId="063F9A97" w14:textId="3E6A4AE0" w:rsidR="005673AE" w:rsidRDefault="005673AE" w:rsidP="00BC5F42">
      <w:r w:rsidRPr="00BC5F42">
        <w:t>Competitive neutrality is the principle that a public sector business or agency undertaking a significant business activity should not have a competitive advantage (or disadvantage) over the private sector solely due to its government ownership. Public sector businesses should compete with private sector businesses on an equal (competitively neutral) basis. Some examples of competitive advantage may include financial advantages, procedural advantages or regulatory advantages.</w:t>
      </w:r>
    </w:p>
    <w:p w14:paraId="0EC7577C" w14:textId="5090A174" w:rsidR="00BC5F42" w:rsidRPr="00BC5F42" w:rsidRDefault="00BC5F42" w:rsidP="00BC5F42">
      <w:r w:rsidRPr="00BC5F42">
        <w:t>Each financial year a local government must decide, by resolution, whether or not to apply the code of competitive conduct (LGA s47).  The Local Government Regulation 2012 (s39) provides further information on what is a prescribed business activity</w:t>
      </w:r>
    </w:p>
    <w:p w14:paraId="6747B13E" w14:textId="77777777" w:rsidR="002A75B6" w:rsidRPr="00347ADB" w:rsidRDefault="002A75B6" w:rsidP="005673AE">
      <w:pPr>
        <w:pStyle w:val="Heading4"/>
        <w:rPr>
          <w:b/>
          <w:bCs/>
        </w:rPr>
      </w:pPr>
      <w:r w:rsidRPr="00347ADB">
        <w:rPr>
          <w:b/>
          <w:bCs/>
        </w:rPr>
        <w:t>Who can make a complaint</w:t>
      </w:r>
    </w:p>
    <w:p w14:paraId="44677329" w14:textId="77777777" w:rsidR="002A75B6" w:rsidRPr="00BC5F42" w:rsidRDefault="002A75B6" w:rsidP="00BC5F42">
      <w:r w:rsidRPr="00BC5F42">
        <w:t>An affected person who has been adversely affected by a competitive advantage allegedly enjoyed by Council may make a complaint.</w:t>
      </w:r>
    </w:p>
    <w:p w14:paraId="4FB9CB5A" w14:textId="32D40511" w:rsidR="002A75B6" w:rsidRDefault="002A75B6" w:rsidP="00BC5F42">
      <w:pPr>
        <w:rPr>
          <w:rFonts w:cstheme="minorHAnsi"/>
        </w:rPr>
      </w:pPr>
      <w:r w:rsidRPr="00BC5F42">
        <w:t xml:space="preserve">Complainants are encouraged to meet with Council representatives to explain their concerns and </w:t>
      </w:r>
      <w:r w:rsidRPr="00BC5F42">
        <w:rPr>
          <w:rFonts w:cstheme="minorHAnsi"/>
        </w:rPr>
        <w:t>enable Council to clarify and, if possible, resolve the matter before a formal complaint is made.</w:t>
      </w:r>
    </w:p>
    <w:p w14:paraId="0AD32988" w14:textId="5E1B7695" w:rsidR="00CD3D45" w:rsidRPr="00BC5F42" w:rsidRDefault="00CD3D45" w:rsidP="00BC5F42">
      <w:pPr>
        <w:rPr>
          <w:rFonts w:cstheme="minorHAnsi"/>
        </w:rPr>
      </w:pPr>
      <w:r>
        <w:rPr>
          <w:rFonts w:cstheme="minorHAnsi"/>
        </w:rPr>
        <w:t xml:space="preserve">Refer to Councils </w:t>
      </w:r>
      <w:r w:rsidRPr="00BC5F42">
        <w:t>competitive neutrality complaint</w:t>
      </w:r>
      <w:r>
        <w:t xml:space="preserve"> </w:t>
      </w:r>
      <w:r w:rsidR="00515FF1" w:rsidRPr="00515FF1">
        <w:rPr>
          <w:color w:val="ED7D31" w:themeColor="accent2"/>
        </w:rPr>
        <w:t xml:space="preserve">&lt;policy/process&gt; </w:t>
      </w:r>
      <w:r>
        <w:t>on how the complaint will be managed.</w:t>
      </w:r>
    </w:p>
    <w:p w14:paraId="20508C5B" w14:textId="66D18909" w:rsidR="00BC5F42" w:rsidRPr="00D068D6" w:rsidRDefault="00BC5F42" w:rsidP="002A75B6">
      <w:pPr>
        <w:pStyle w:val="NormalWeb"/>
        <w:rPr>
          <w:rFonts w:asciiTheme="minorHAnsi" w:hAnsiTheme="minorHAnsi" w:cstheme="minorHAnsi"/>
          <w:sz w:val="22"/>
          <w:szCs w:val="22"/>
        </w:rPr>
      </w:pPr>
      <w:r w:rsidRPr="00BC5F42">
        <w:rPr>
          <w:rFonts w:asciiTheme="minorHAnsi" w:hAnsiTheme="minorHAnsi" w:cstheme="minorHAnsi"/>
          <w:sz w:val="22"/>
          <w:szCs w:val="22"/>
        </w:rPr>
        <w:t xml:space="preserve">For more information you may wish to visit the </w:t>
      </w:r>
      <w:hyperlink r:id="rId18" w:history="1">
        <w:r w:rsidRPr="00BC5F42">
          <w:rPr>
            <w:rStyle w:val="Hyperlink"/>
            <w:rFonts w:asciiTheme="minorHAnsi" w:hAnsiTheme="minorHAnsi" w:cstheme="minorHAnsi"/>
            <w:sz w:val="22"/>
            <w:szCs w:val="22"/>
          </w:rPr>
          <w:t>Queensland Competition Authority</w:t>
        </w:r>
      </w:hyperlink>
      <w:r w:rsidRPr="00BC5F42">
        <w:rPr>
          <w:rFonts w:asciiTheme="minorHAnsi" w:hAnsiTheme="minorHAnsi" w:cstheme="minorHAnsi"/>
          <w:sz w:val="22"/>
          <w:szCs w:val="22"/>
        </w:rPr>
        <w:t xml:space="preserve"> website or </w:t>
      </w:r>
      <w:r w:rsidRPr="00D068D6">
        <w:rPr>
          <w:rFonts w:asciiTheme="minorHAnsi" w:hAnsiTheme="minorHAnsi" w:cstheme="minorHAnsi"/>
          <w:sz w:val="22"/>
          <w:szCs w:val="22"/>
        </w:rPr>
        <w:t xml:space="preserve">review the provisions of the </w:t>
      </w:r>
      <w:r w:rsidRPr="00D068D6">
        <w:rPr>
          <w:rFonts w:asciiTheme="minorHAnsi" w:hAnsiTheme="minorHAnsi" w:cstheme="minorHAnsi"/>
          <w:i/>
          <w:iCs/>
          <w:sz w:val="22"/>
          <w:szCs w:val="22"/>
        </w:rPr>
        <w:t>Local Government Act 2009</w:t>
      </w:r>
      <w:r w:rsidRPr="00D068D6">
        <w:rPr>
          <w:rFonts w:asciiTheme="minorHAnsi" w:hAnsiTheme="minorHAnsi" w:cstheme="minorHAnsi"/>
          <w:sz w:val="22"/>
          <w:szCs w:val="22"/>
        </w:rPr>
        <w:t xml:space="preserve"> (ss43-48)</w:t>
      </w:r>
    </w:p>
    <w:p w14:paraId="70700545" w14:textId="4DFD1274" w:rsidR="00FD0C9C" w:rsidRPr="00347ADB" w:rsidRDefault="00FD0C9C" w:rsidP="00FD0C9C">
      <w:pPr>
        <w:pStyle w:val="Heading4"/>
        <w:rPr>
          <w:b/>
          <w:bCs/>
        </w:rPr>
      </w:pPr>
      <w:r w:rsidRPr="00347ADB">
        <w:rPr>
          <w:b/>
          <w:bCs/>
        </w:rPr>
        <w:t>Early resolution – preliminary review</w:t>
      </w:r>
    </w:p>
    <w:p w14:paraId="6D87FC6C" w14:textId="77777777" w:rsidR="00D068D6" w:rsidRDefault="00F66458" w:rsidP="00F66458">
      <w:r w:rsidRPr="00D068D6">
        <w:t xml:space="preserve">Council is committed to early resolution of alleged breach of the competitive neutrality principles.   </w:t>
      </w:r>
      <w:r w:rsidR="00D068D6" w:rsidRPr="00D068D6">
        <w:t xml:space="preserve">If you have an enquiry or concern that a competitive neutrality complaint may exist, please contact </w:t>
      </w:r>
      <w:r w:rsidR="00D068D6" w:rsidRPr="00D068D6">
        <w:rPr>
          <w:color w:val="ED7D31" w:themeColor="accent2"/>
        </w:rPr>
        <w:t>&lt;contact name and number&gt;</w:t>
      </w:r>
      <w:r w:rsidR="00D068D6" w:rsidRPr="00D068D6">
        <w:t xml:space="preserve"> to discuss further</w:t>
      </w:r>
      <w:r w:rsidRPr="00D068D6">
        <w:t xml:space="preserve">.  </w:t>
      </w:r>
    </w:p>
    <w:p w14:paraId="337A287D" w14:textId="6BE21DF7" w:rsidR="00FD0C9C" w:rsidRDefault="00D068D6" w:rsidP="00F66458">
      <w:r>
        <w:t>You may be required to</w:t>
      </w:r>
      <w:r w:rsidR="00F66458" w:rsidRPr="00D068D6">
        <w:t xml:space="preserve"> complete a Preliminary Request – Competitive Neutrality Compliant Form </w:t>
      </w:r>
      <w:r>
        <w:t>to support your concern</w:t>
      </w:r>
      <w:r w:rsidR="006200B6">
        <w:t>s</w:t>
      </w:r>
      <w:r>
        <w:t>, for recording purposes (i.e. claims/concerns needs to be in writing)</w:t>
      </w:r>
      <w:r w:rsidR="00F66458" w:rsidRPr="00D068D6">
        <w:t>.</w:t>
      </w:r>
    </w:p>
    <w:p w14:paraId="73E292D8" w14:textId="14EBB140" w:rsidR="00F66458" w:rsidRPr="00D068D6" w:rsidRDefault="00F66458" w:rsidP="00F66458">
      <w:r w:rsidRPr="00D068D6">
        <w:t xml:space="preserve">This is an informal process aimed at investigating </w:t>
      </w:r>
      <w:r w:rsidR="00D068D6">
        <w:t xml:space="preserve">and resolving </w:t>
      </w:r>
      <w:r w:rsidRPr="00D068D6">
        <w:t xml:space="preserve">your concerns and </w:t>
      </w:r>
      <w:r w:rsidR="00D068D6">
        <w:t xml:space="preserve">where necessary, </w:t>
      </w:r>
      <w:r w:rsidR="00D068D6" w:rsidRPr="00D068D6">
        <w:t xml:space="preserve">prepare further recommendations/actions. </w:t>
      </w:r>
    </w:p>
    <w:p w14:paraId="25BB2545" w14:textId="45ACF95C" w:rsidR="002A75B6" w:rsidRPr="00D068D6" w:rsidRDefault="002A75B6" w:rsidP="005673AE">
      <w:pPr>
        <w:pStyle w:val="Heading4"/>
      </w:pPr>
      <w:r w:rsidRPr="00D068D6">
        <w:t xml:space="preserve">How to make a </w:t>
      </w:r>
      <w:r w:rsidR="00F66458" w:rsidRPr="00D068D6">
        <w:t xml:space="preserve">formal </w:t>
      </w:r>
      <w:r w:rsidRPr="00D068D6">
        <w:t>complaint</w:t>
      </w:r>
    </w:p>
    <w:p w14:paraId="65F0CBEB" w14:textId="29BBB357" w:rsidR="00E56869" w:rsidRPr="00D068D6" w:rsidRDefault="00D068D6" w:rsidP="00E56869">
      <w:r w:rsidRPr="00D068D6">
        <w:t>If you are not satisfied with Council’s response, you can submit a formal complaint to the Queensland Competition Authority</w:t>
      </w:r>
      <w:r w:rsidR="00E56869" w:rsidRPr="00D068D6">
        <w:t>.</w:t>
      </w:r>
      <w:r w:rsidR="0008599B" w:rsidRPr="00D068D6">
        <w:t xml:space="preserve">  </w:t>
      </w:r>
    </w:p>
    <w:p w14:paraId="08FC70C4" w14:textId="5D36F61D" w:rsidR="00D068D6" w:rsidRPr="00347ADB" w:rsidRDefault="00D068D6" w:rsidP="00E56869">
      <w:r w:rsidRPr="00D068D6">
        <w:t xml:space="preserve">All complaints musty be made in writing and provide evidence that the complainant has </w:t>
      </w:r>
      <w:r>
        <w:t xml:space="preserve">made a </w:t>
      </w:r>
      <w:r w:rsidRPr="00347ADB">
        <w:t xml:space="preserve">genuine attempt to resolve the complaint/concern </w:t>
      </w:r>
      <w:r w:rsidR="001A32EC" w:rsidRPr="00347ADB">
        <w:t>through Councils processes.</w:t>
      </w:r>
    </w:p>
    <w:p w14:paraId="40D090D0" w14:textId="7B6673CD" w:rsidR="002A75B6" w:rsidRPr="00D068D6" w:rsidRDefault="0008599B">
      <w:r w:rsidRPr="00347ADB">
        <w:t xml:space="preserve">A competitive neutrality complaint </w:t>
      </w:r>
      <w:hyperlink r:id="rId19" w:history="1">
        <w:r w:rsidRPr="00347ADB">
          <w:rPr>
            <w:rStyle w:val="Hyperlink"/>
          </w:rPr>
          <w:t>Form</w:t>
        </w:r>
      </w:hyperlink>
      <w:r w:rsidRPr="00347ADB">
        <w:rPr>
          <w:color w:val="ED7D31" w:themeColor="accent2"/>
        </w:rPr>
        <w:t xml:space="preserve"> </w:t>
      </w:r>
      <w:r w:rsidRPr="00347ADB">
        <w:t xml:space="preserve">is available </w:t>
      </w:r>
      <w:r w:rsidR="00D068D6" w:rsidRPr="00347ADB">
        <w:t xml:space="preserve">on the </w:t>
      </w:r>
      <w:hyperlink r:id="rId20" w:history="1">
        <w:r w:rsidR="00D068D6" w:rsidRPr="00347ADB">
          <w:rPr>
            <w:rStyle w:val="Hyperlink"/>
          </w:rPr>
          <w:t>Queensland Competition Authority</w:t>
        </w:r>
      </w:hyperlink>
      <w:r w:rsidR="00D068D6" w:rsidRPr="00347ADB">
        <w:t xml:space="preserve"> webpage</w:t>
      </w:r>
      <w:r w:rsidR="00347ADB" w:rsidRPr="00347ADB">
        <w:t xml:space="preserve"> or contact them on (07) 3222 0555 or via their online </w:t>
      </w:r>
      <w:hyperlink r:id="rId21" w:history="1">
        <w:r w:rsidR="00347ADB" w:rsidRPr="00347ADB">
          <w:rPr>
            <w:rStyle w:val="Hyperlink"/>
          </w:rPr>
          <w:t>form</w:t>
        </w:r>
      </w:hyperlink>
      <w:r w:rsidR="00347ADB" w:rsidRPr="00347ADB">
        <w:t>.</w:t>
      </w:r>
    </w:p>
    <w:sectPr w:rsidR="002A75B6" w:rsidRPr="00D068D6" w:rsidSect="002964C4">
      <w:footerReference w:type="default" r:id="rId2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838C61" w14:textId="77777777" w:rsidR="002227A3" w:rsidRDefault="002227A3" w:rsidP="005259EC">
      <w:pPr>
        <w:spacing w:after="0" w:line="240" w:lineRule="auto"/>
      </w:pPr>
      <w:r>
        <w:separator/>
      </w:r>
    </w:p>
  </w:endnote>
  <w:endnote w:type="continuationSeparator" w:id="0">
    <w:p w14:paraId="6FC9A375" w14:textId="77777777" w:rsidR="002227A3" w:rsidRDefault="002227A3" w:rsidP="0052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84A4CB" w14:textId="3C497557" w:rsidR="00332FBD" w:rsidRDefault="00332FBD" w:rsidP="00332FBD">
    <w:pPr>
      <w:pStyle w:val="Footer"/>
      <w:rPr>
        <w:noProof/>
      </w:rPr>
    </w:pPr>
    <w:r>
      <w:t>Competitive Neutrality Complaint Process</w:t>
    </w:r>
    <w:r>
      <w:tab/>
    </w:r>
    <w:r>
      <w:rPr>
        <w:noProof/>
      </w:rPr>
      <w:drawing>
        <wp:inline distT="0" distB="0" distL="0" distR="0" wp14:anchorId="7912360A" wp14:editId="4AB02913">
          <wp:extent cx="1447111" cy="3937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288" t="20276" r="16908" b="58886"/>
                  <a:stretch/>
                </pic:blipFill>
                <pic:spPr bwMode="auto">
                  <a:xfrm>
                    <a:off x="0" y="0"/>
                    <a:ext cx="1484533" cy="403881"/>
                  </a:xfrm>
                  <a:prstGeom prst="rect">
                    <a:avLst/>
                  </a:prstGeom>
                  <a:ln>
                    <a:noFill/>
                  </a:ln>
                  <a:extLst>
                    <a:ext uri="{53640926-AAD7-44D8-BBD7-CCE9431645EC}">
                      <a14:shadowObscured xmlns:a14="http://schemas.microsoft.com/office/drawing/2010/main"/>
                    </a:ext>
                  </a:extLst>
                </pic:spPr>
              </pic:pic>
            </a:graphicData>
          </a:graphic>
        </wp:inline>
      </w:drawing>
    </w:r>
    <w:r>
      <w:tab/>
    </w:r>
    <w:r>
      <w:fldChar w:fldCharType="begin"/>
    </w:r>
    <w:r>
      <w:instrText xml:space="preserve"> PAGE   \* MERGEFORMAT </w:instrText>
    </w:r>
    <w:r>
      <w:fldChar w:fldCharType="separate"/>
    </w:r>
    <w:r>
      <w:t>2</w:t>
    </w:r>
    <w:r>
      <w:rPr>
        <w:noProof/>
      </w:rPr>
      <w:fldChar w:fldCharType="end"/>
    </w:r>
  </w:p>
  <w:p w14:paraId="7DE7B34A" w14:textId="5FDE04B6" w:rsidR="005259EC" w:rsidRPr="00153C56" w:rsidRDefault="00332FBD" w:rsidP="005259EC">
    <w:pPr>
      <w:pStyle w:val="Footer"/>
      <w:rPr>
        <w:sz w:val="18"/>
        <w:szCs w:val="18"/>
      </w:rPr>
    </w:pPr>
    <w:r w:rsidRPr="00E179AA">
      <w:rPr>
        <w:noProof/>
        <w:sz w:val="18"/>
        <w:szCs w:val="18"/>
      </w:rPr>
      <w:t xml:space="preserve">Version 1 – </w:t>
    </w:r>
    <w:r w:rsidRPr="00153C56">
      <w:rPr>
        <w:noProof/>
        <w:sz w:val="18"/>
        <w:szCs w:val="18"/>
      </w:rPr>
      <w:t xml:space="preserve">JRG Endorsed </w:t>
    </w:r>
    <w:r w:rsidR="00153C56" w:rsidRPr="00153C56">
      <w:rPr>
        <w:noProof/>
        <w:sz w:val="18"/>
        <w:szCs w:val="18"/>
      </w:rPr>
      <w:t>2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76370" w14:textId="77777777" w:rsidR="002227A3" w:rsidRDefault="002227A3" w:rsidP="005259EC">
      <w:pPr>
        <w:spacing w:after="0" w:line="240" w:lineRule="auto"/>
      </w:pPr>
      <w:r>
        <w:separator/>
      </w:r>
    </w:p>
  </w:footnote>
  <w:footnote w:type="continuationSeparator" w:id="0">
    <w:p w14:paraId="206911AE" w14:textId="77777777" w:rsidR="002227A3" w:rsidRDefault="002227A3" w:rsidP="00525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6C866B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32BDF"/>
    <w:multiLevelType w:val="hybridMultilevel"/>
    <w:tmpl w:val="650C02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C012F90"/>
    <w:multiLevelType w:val="hybridMultilevel"/>
    <w:tmpl w:val="A7502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5E0209"/>
    <w:multiLevelType w:val="hybridMultilevel"/>
    <w:tmpl w:val="8A1E1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81012"/>
    <w:multiLevelType w:val="hybridMultilevel"/>
    <w:tmpl w:val="4ED60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E06400"/>
    <w:multiLevelType w:val="hybridMultilevel"/>
    <w:tmpl w:val="FEF6B9A8"/>
    <w:lvl w:ilvl="0" w:tplc="0C090017">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0A5964"/>
    <w:multiLevelType w:val="hybridMultilevel"/>
    <w:tmpl w:val="5952378E"/>
    <w:lvl w:ilvl="0" w:tplc="0C090001">
      <w:start w:val="1"/>
      <w:numFmt w:val="bullet"/>
      <w:lvlText w:val=""/>
      <w:lvlJc w:val="left"/>
      <w:pPr>
        <w:ind w:left="360" w:hanging="360"/>
      </w:pPr>
      <w:rPr>
        <w:rFonts w:ascii="Symbol" w:hAnsi="Symbol" w:hint="default"/>
      </w:rPr>
    </w:lvl>
    <w:lvl w:ilvl="1" w:tplc="97540D8C">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152F02"/>
    <w:multiLevelType w:val="hybridMultilevel"/>
    <w:tmpl w:val="1A0CBA02"/>
    <w:lvl w:ilvl="0" w:tplc="9AB801BA">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8362A3"/>
    <w:multiLevelType w:val="hybridMultilevel"/>
    <w:tmpl w:val="B282A4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AA1F0D"/>
    <w:multiLevelType w:val="hybridMultilevel"/>
    <w:tmpl w:val="00B0D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91287"/>
    <w:multiLevelType w:val="hybridMultilevel"/>
    <w:tmpl w:val="02F616AA"/>
    <w:lvl w:ilvl="0" w:tplc="0FC0B53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89747B"/>
    <w:multiLevelType w:val="hybridMultilevel"/>
    <w:tmpl w:val="1A660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4BEF41C">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A7867"/>
    <w:multiLevelType w:val="hybridMultilevel"/>
    <w:tmpl w:val="C3D8E4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716572"/>
    <w:multiLevelType w:val="hybridMultilevel"/>
    <w:tmpl w:val="11FC4E38"/>
    <w:lvl w:ilvl="0" w:tplc="BC0219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8904B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CC51FD"/>
    <w:multiLevelType w:val="hybridMultilevel"/>
    <w:tmpl w:val="8034CBB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E734A8"/>
    <w:multiLevelType w:val="hybridMultilevel"/>
    <w:tmpl w:val="86306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675001"/>
    <w:multiLevelType w:val="hybridMultilevel"/>
    <w:tmpl w:val="F314D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0418F3"/>
    <w:multiLevelType w:val="hybridMultilevel"/>
    <w:tmpl w:val="F2623912"/>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C61921"/>
    <w:multiLevelType w:val="multilevel"/>
    <w:tmpl w:val="61FC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330D2A"/>
    <w:multiLevelType w:val="hybridMultilevel"/>
    <w:tmpl w:val="643E3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F939E5"/>
    <w:multiLevelType w:val="multilevel"/>
    <w:tmpl w:val="A330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C72690"/>
    <w:multiLevelType w:val="hybridMultilevel"/>
    <w:tmpl w:val="1CA09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B50534"/>
    <w:multiLevelType w:val="hybridMultilevel"/>
    <w:tmpl w:val="A3266C18"/>
    <w:lvl w:ilvl="0" w:tplc="BF3281B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3048A4"/>
    <w:multiLevelType w:val="hybridMultilevel"/>
    <w:tmpl w:val="521A1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C63FEC"/>
    <w:multiLevelType w:val="hybridMultilevel"/>
    <w:tmpl w:val="FDEA8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7503F6"/>
    <w:multiLevelType w:val="hybridMultilevel"/>
    <w:tmpl w:val="8BBC4D4A"/>
    <w:lvl w:ilvl="0" w:tplc="9AB801B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4476867">
    <w:abstractNumId w:val="25"/>
  </w:num>
  <w:num w:numId="2" w16cid:durableId="2021541352">
    <w:abstractNumId w:val="4"/>
  </w:num>
  <w:num w:numId="3" w16cid:durableId="1504659649">
    <w:abstractNumId w:val="26"/>
  </w:num>
  <w:num w:numId="4" w16cid:durableId="780999194">
    <w:abstractNumId w:val="7"/>
  </w:num>
  <w:num w:numId="5" w16cid:durableId="1791246433">
    <w:abstractNumId w:val="21"/>
  </w:num>
  <w:num w:numId="6" w16cid:durableId="1380978351">
    <w:abstractNumId w:val="5"/>
  </w:num>
  <w:num w:numId="7" w16cid:durableId="1116480913">
    <w:abstractNumId w:val="23"/>
  </w:num>
  <w:num w:numId="8" w16cid:durableId="1913008671">
    <w:abstractNumId w:val="0"/>
  </w:num>
  <w:num w:numId="9" w16cid:durableId="1044909848">
    <w:abstractNumId w:val="17"/>
  </w:num>
  <w:num w:numId="10" w16cid:durableId="668968">
    <w:abstractNumId w:val="19"/>
  </w:num>
  <w:num w:numId="11" w16cid:durableId="2035691719">
    <w:abstractNumId w:val="22"/>
  </w:num>
  <w:num w:numId="12" w16cid:durableId="2111195229">
    <w:abstractNumId w:val="16"/>
  </w:num>
  <w:num w:numId="13" w16cid:durableId="826556654">
    <w:abstractNumId w:val="10"/>
  </w:num>
  <w:num w:numId="14" w16cid:durableId="235743852">
    <w:abstractNumId w:val="14"/>
  </w:num>
  <w:num w:numId="15" w16cid:durableId="247158075">
    <w:abstractNumId w:val="6"/>
  </w:num>
  <w:num w:numId="16" w16cid:durableId="836573306">
    <w:abstractNumId w:val="11"/>
  </w:num>
  <w:num w:numId="17" w16cid:durableId="850526707">
    <w:abstractNumId w:val="1"/>
  </w:num>
  <w:num w:numId="18" w16cid:durableId="1653483694">
    <w:abstractNumId w:val="13"/>
  </w:num>
  <w:num w:numId="19" w16cid:durableId="202056319">
    <w:abstractNumId w:val="3"/>
  </w:num>
  <w:num w:numId="20" w16cid:durableId="1562012464">
    <w:abstractNumId w:val="20"/>
  </w:num>
  <w:num w:numId="21" w16cid:durableId="1697733191">
    <w:abstractNumId w:val="2"/>
  </w:num>
  <w:num w:numId="22" w16cid:durableId="215625034">
    <w:abstractNumId w:val="8"/>
  </w:num>
  <w:num w:numId="23" w16cid:durableId="1696693742">
    <w:abstractNumId w:val="18"/>
  </w:num>
  <w:num w:numId="24" w16cid:durableId="1167288606">
    <w:abstractNumId w:val="24"/>
  </w:num>
  <w:num w:numId="25" w16cid:durableId="861892252">
    <w:abstractNumId w:val="9"/>
  </w:num>
  <w:num w:numId="26" w16cid:durableId="717782045">
    <w:abstractNumId w:val="15"/>
  </w:num>
  <w:num w:numId="27" w16cid:durableId="17073725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DC"/>
    <w:rsid w:val="0000457F"/>
    <w:rsid w:val="00031AD5"/>
    <w:rsid w:val="00032ACB"/>
    <w:rsid w:val="0008599B"/>
    <w:rsid w:val="00096E08"/>
    <w:rsid w:val="000A58BC"/>
    <w:rsid w:val="000B6362"/>
    <w:rsid w:val="000D0D2B"/>
    <w:rsid w:val="00101726"/>
    <w:rsid w:val="00130285"/>
    <w:rsid w:val="00147354"/>
    <w:rsid w:val="00153C56"/>
    <w:rsid w:val="00173537"/>
    <w:rsid w:val="001A32EC"/>
    <w:rsid w:val="001A4D58"/>
    <w:rsid w:val="001E02F8"/>
    <w:rsid w:val="001E7061"/>
    <w:rsid w:val="001F35B3"/>
    <w:rsid w:val="00210C1D"/>
    <w:rsid w:val="00221C75"/>
    <w:rsid w:val="002227A3"/>
    <w:rsid w:val="00232942"/>
    <w:rsid w:val="00233EB4"/>
    <w:rsid w:val="002403B6"/>
    <w:rsid w:val="002556A3"/>
    <w:rsid w:val="002572F8"/>
    <w:rsid w:val="00261E89"/>
    <w:rsid w:val="00266BCE"/>
    <w:rsid w:val="00267286"/>
    <w:rsid w:val="0029226A"/>
    <w:rsid w:val="002964C4"/>
    <w:rsid w:val="002A45EA"/>
    <w:rsid w:val="002A75B6"/>
    <w:rsid w:val="002C4141"/>
    <w:rsid w:val="002D3B4C"/>
    <w:rsid w:val="002F0A99"/>
    <w:rsid w:val="002F0B72"/>
    <w:rsid w:val="0030173E"/>
    <w:rsid w:val="00312924"/>
    <w:rsid w:val="00320E83"/>
    <w:rsid w:val="00323FDE"/>
    <w:rsid w:val="003265CD"/>
    <w:rsid w:val="00327D34"/>
    <w:rsid w:val="00332FBD"/>
    <w:rsid w:val="00347ADB"/>
    <w:rsid w:val="00374816"/>
    <w:rsid w:val="00376D8C"/>
    <w:rsid w:val="003937E2"/>
    <w:rsid w:val="00396F58"/>
    <w:rsid w:val="003A39E2"/>
    <w:rsid w:val="003B3F30"/>
    <w:rsid w:val="003B443D"/>
    <w:rsid w:val="003C5D01"/>
    <w:rsid w:val="003C7650"/>
    <w:rsid w:val="003F2953"/>
    <w:rsid w:val="004250E3"/>
    <w:rsid w:val="0043012C"/>
    <w:rsid w:val="00431644"/>
    <w:rsid w:val="00455619"/>
    <w:rsid w:val="00456044"/>
    <w:rsid w:val="00461DAF"/>
    <w:rsid w:val="004648D1"/>
    <w:rsid w:val="0048389A"/>
    <w:rsid w:val="004856A8"/>
    <w:rsid w:val="004C7FE1"/>
    <w:rsid w:val="004E65CF"/>
    <w:rsid w:val="004F4768"/>
    <w:rsid w:val="00505114"/>
    <w:rsid w:val="0051265B"/>
    <w:rsid w:val="005129B2"/>
    <w:rsid w:val="00515FF1"/>
    <w:rsid w:val="0052514D"/>
    <w:rsid w:val="005259EC"/>
    <w:rsid w:val="0053304C"/>
    <w:rsid w:val="005343D4"/>
    <w:rsid w:val="0053512D"/>
    <w:rsid w:val="005372A4"/>
    <w:rsid w:val="00541AE2"/>
    <w:rsid w:val="00541D2B"/>
    <w:rsid w:val="0055281A"/>
    <w:rsid w:val="005673AE"/>
    <w:rsid w:val="00571906"/>
    <w:rsid w:val="00577564"/>
    <w:rsid w:val="00577A41"/>
    <w:rsid w:val="00586726"/>
    <w:rsid w:val="00587C67"/>
    <w:rsid w:val="005A189E"/>
    <w:rsid w:val="005A1CDC"/>
    <w:rsid w:val="005A4288"/>
    <w:rsid w:val="005B040E"/>
    <w:rsid w:val="005B6250"/>
    <w:rsid w:val="005B7DB0"/>
    <w:rsid w:val="005C1695"/>
    <w:rsid w:val="005C3EDF"/>
    <w:rsid w:val="005D7C5D"/>
    <w:rsid w:val="005E0A10"/>
    <w:rsid w:val="005E4710"/>
    <w:rsid w:val="005F0F83"/>
    <w:rsid w:val="005F3A39"/>
    <w:rsid w:val="00600CC1"/>
    <w:rsid w:val="00602D44"/>
    <w:rsid w:val="006200B6"/>
    <w:rsid w:val="00626AA9"/>
    <w:rsid w:val="00652438"/>
    <w:rsid w:val="00653375"/>
    <w:rsid w:val="00664E54"/>
    <w:rsid w:val="0068154A"/>
    <w:rsid w:val="00694A13"/>
    <w:rsid w:val="006A79AF"/>
    <w:rsid w:val="006C4E42"/>
    <w:rsid w:val="006C7ECA"/>
    <w:rsid w:val="006D5895"/>
    <w:rsid w:val="006D6CAA"/>
    <w:rsid w:val="006E50EF"/>
    <w:rsid w:val="006E60F0"/>
    <w:rsid w:val="006E6347"/>
    <w:rsid w:val="006F5C66"/>
    <w:rsid w:val="00702307"/>
    <w:rsid w:val="007073D7"/>
    <w:rsid w:val="00726170"/>
    <w:rsid w:val="00727ADE"/>
    <w:rsid w:val="00727E97"/>
    <w:rsid w:val="00742515"/>
    <w:rsid w:val="00746927"/>
    <w:rsid w:val="0075318C"/>
    <w:rsid w:val="00753C56"/>
    <w:rsid w:val="00761D41"/>
    <w:rsid w:val="00795AAB"/>
    <w:rsid w:val="007A7116"/>
    <w:rsid w:val="007B1436"/>
    <w:rsid w:val="007D0DCE"/>
    <w:rsid w:val="007D44E0"/>
    <w:rsid w:val="007D6B60"/>
    <w:rsid w:val="00800A76"/>
    <w:rsid w:val="00826127"/>
    <w:rsid w:val="00833CBE"/>
    <w:rsid w:val="00897911"/>
    <w:rsid w:val="00905B73"/>
    <w:rsid w:val="009163A8"/>
    <w:rsid w:val="00917FC2"/>
    <w:rsid w:val="00921FEA"/>
    <w:rsid w:val="00922FDE"/>
    <w:rsid w:val="00923173"/>
    <w:rsid w:val="00925DE0"/>
    <w:rsid w:val="00962277"/>
    <w:rsid w:val="00972043"/>
    <w:rsid w:val="0097589B"/>
    <w:rsid w:val="009836FF"/>
    <w:rsid w:val="009A4CB9"/>
    <w:rsid w:val="009B1ED4"/>
    <w:rsid w:val="009B588F"/>
    <w:rsid w:val="009C3799"/>
    <w:rsid w:val="009C68C8"/>
    <w:rsid w:val="00A00EFB"/>
    <w:rsid w:val="00A14310"/>
    <w:rsid w:val="00A25CEF"/>
    <w:rsid w:val="00A343B5"/>
    <w:rsid w:val="00A66687"/>
    <w:rsid w:val="00A70901"/>
    <w:rsid w:val="00A95E93"/>
    <w:rsid w:val="00AB3D97"/>
    <w:rsid w:val="00AD7DF5"/>
    <w:rsid w:val="00AE2843"/>
    <w:rsid w:val="00B7281E"/>
    <w:rsid w:val="00B77676"/>
    <w:rsid w:val="00B80FC5"/>
    <w:rsid w:val="00B830DB"/>
    <w:rsid w:val="00B878BD"/>
    <w:rsid w:val="00B96A10"/>
    <w:rsid w:val="00BA723E"/>
    <w:rsid w:val="00BC468F"/>
    <w:rsid w:val="00BC5F42"/>
    <w:rsid w:val="00BD504B"/>
    <w:rsid w:val="00BF6F49"/>
    <w:rsid w:val="00C55479"/>
    <w:rsid w:val="00C63486"/>
    <w:rsid w:val="00CB2F0C"/>
    <w:rsid w:val="00CB7982"/>
    <w:rsid w:val="00CD3D45"/>
    <w:rsid w:val="00CE0EFE"/>
    <w:rsid w:val="00CE36E6"/>
    <w:rsid w:val="00CF00E7"/>
    <w:rsid w:val="00D04214"/>
    <w:rsid w:val="00D068D6"/>
    <w:rsid w:val="00D41D92"/>
    <w:rsid w:val="00D55738"/>
    <w:rsid w:val="00D7168F"/>
    <w:rsid w:val="00D76C14"/>
    <w:rsid w:val="00D82FC1"/>
    <w:rsid w:val="00DC5D0D"/>
    <w:rsid w:val="00DC6FF5"/>
    <w:rsid w:val="00DF5199"/>
    <w:rsid w:val="00DF5A86"/>
    <w:rsid w:val="00E01CBD"/>
    <w:rsid w:val="00E070C5"/>
    <w:rsid w:val="00E11346"/>
    <w:rsid w:val="00E11D43"/>
    <w:rsid w:val="00E16207"/>
    <w:rsid w:val="00E245B1"/>
    <w:rsid w:val="00E4423B"/>
    <w:rsid w:val="00E56869"/>
    <w:rsid w:val="00E75197"/>
    <w:rsid w:val="00E855F5"/>
    <w:rsid w:val="00EA5F55"/>
    <w:rsid w:val="00ED2CFD"/>
    <w:rsid w:val="00EE14C8"/>
    <w:rsid w:val="00EE3973"/>
    <w:rsid w:val="00F0410D"/>
    <w:rsid w:val="00F31C3D"/>
    <w:rsid w:val="00F66458"/>
    <w:rsid w:val="00FC3734"/>
    <w:rsid w:val="00FC3F09"/>
    <w:rsid w:val="00FD0C9C"/>
    <w:rsid w:val="00FD67FB"/>
    <w:rsid w:val="00FE0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3F6D"/>
  <w15:chartTrackingRefBased/>
  <w15:docId w15:val="{D0E1014C-6B17-4741-8534-87C833D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41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673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9791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64E5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9EC"/>
  </w:style>
  <w:style w:type="paragraph" w:styleId="Footer">
    <w:name w:val="footer"/>
    <w:basedOn w:val="Normal"/>
    <w:link w:val="FooterChar"/>
    <w:uiPriority w:val="99"/>
    <w:unhideWhenUsed/>
    <w:rsid w:val="0052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9EC"/>
  </w:style>
  <w:style w:type="character" w:customStyle="1" w:styleId="Heading1Char">
    <w:name w:val="Heading 1 Char"/>
    <w:basedOn w:val="DefaultParagraphFont"/>
    <w:link w:val="Heading1"/>
    <w:uiPriority w:val="9"/>
    <w:rsid w:val="00CE36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E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31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1C3D"/>
    <w:pPr>
      <w:ind w:left="720"/>
      <w:contextualSpacing/>
    </w:pPr>
  </w:style>
  <w:style w:type="paragraph" w:styleId="NormalWeb">
    <w:name w:val="Normal (Web)"/>
    <w:basedOn w:val="Normal"/>
    <w:uiPriority w:val="99"/>
    <w:semiHidden/>
    <w:unhideWhenUsed/>
    <w:rsid w:val="00E113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53C56"/>
    <w:rPr>
      <w:color w:val="0000FF"/>
      <w:u w:val="single"/>
    </w:rPr>
  </w:style>
  <w:style w:type="character" w:styleId="UnresolvedMention">
    <w:name w:val="Unresolved Mention"/>
    <w:basedOn w:val="DefaultParagraphFont"/>
    <w:uiPriority w:val="99"/>
    <w:semiHidden/>
    <w:unhideWhenUsed/>
    <w:rsid w:val="00753C56"/>
    <w:rPr>
      <w:color w:val="605E5C"/>
      <w:shd w:val="clear" w:color="auto" w:fill="E1DFDD"/>
    </w:rPr>
  </w:style>
  <w:style w:type="paragraph" w:customStyle="1" w:styleId="Default">
    <w:name w:val="Default"/>
    <w:rsid w:val="004250E3"/>
    <w:pPr>
      <w:autoSpaceDE w:val="0"/>
      <w:autoSpaceDN w:val="0"/>
      <w:adjustRightInd w:val="0"/>
      <w:spacing w:after="0" w:line="240" w:lineRule="auto"/>
    </w:pPr>
    <w:rPr>
      <w:rFonts w:ascii="Roboto" w:hAnsi="Roboto" w:cs="Roboto"/>
      <w:color w:val="000000"/>
      <w:sz w:val="24"/>
      <w:szCs w:val="24"/>
    </w:rPr>
  </w:style>
  <w:style w:type="character" w:customStyle="1" w:styleId="A7">
    <w:name w:val="A7"/>
    <w:uiPriority w:val="99"/>
    <w:rsid w:val="003B443D"/>
    <w:rPr>
      <w:rFonts w:cs="Roboto"/>
      <w:color w:val="000000"/>
      <w:sz w:val="18"/>
      <w:szCs w:val="18"/>
    </w:rPr>
  </w:style>
  <w:style w:type="paragraph" w:customStyle="1" w:styleId="Pa11">
    <w:name w:val="Pa1_1"/>
    <w:basedOn w:val="Default"/>
    <w:next w:val="Default"/>
    <w:uiPriority w:val="99"/>
    <w:rsid w:val="00261E89"/>
    <w:pPr>
      <w:spacing w:line="201" w:lineRule="atLeast"/>
    </w:pPr>
    <w:rPr>
      <w:rFonts w:cstheme="minorBidi"/>
      <w:color w:val="auto"/>
    </w:rPr>
  </w:style>
  <w:style w:type="character" w:customStyle="1" w:styleId="A31">
    <w:name w:val="A3_1"/>
    <w:uiPriority w:val="99"/>
    <w:rsid w:val="00FE0C81"/>
    <w:rPr>
      <w:rFonts w:cs="Roboto"/>
      <w:b/>
      <w:bCs/>
      <w:color w:val="000000"/>
      <w:sz w:val="22"/>
      <w:szCs w:val="22"/>
    </w:rPr>
  </w:style>
  <w:style w:type="character" w:customStyle="1" w:styleId="Heading3Char">
    <w:name w:val="Heading 3 Char"/>
    <w:basedOn w:val="DefaultParagraphFont"/>
    <w:link w:val="Heading3"/>
    <w:uiPriority w:val="9"/>
    <w:rsid w:val="00F0410D"/>
    <w:rPr>
      <w:rFonts w:asciiTheme="majorHAnsi" w:eastAsiaTheme="majorEastAsia" w:hAnsiTheme="majorHAnsi" w:cstheme="majorBidi"/>
      <w:color w:val="1F3763" w:themeColor="accent1" w:themeShade="7F"/>
      <w:sz w:val="24"/>
      <w:szCs w:val="24"/>
    </w:rPr>
  </w:style>
  <w:style w:type="character" w:customStyle="1" w:styleId="A3">
    <w:name w:val="A3"/>
    <w:uiPriority w:val="99"/>
    <w:rsid w:val="006E60F0"/>
    <w:rPr>
      <w:rFonts w:cs="Roboto"/>
      <w:b/>
      <w:bCs/>
      <w:color w:val="000000"/>
      <w:sz w:val="22"/>
      <w:szCs w:val="22"/>
    </w:rPr>
  </w:style>
  <w:style w:type="character" w:customStyle="1" w:styleId="A4">
    <w:name w:val="A4"/>
    <w:uiPriority w:val="99"/>
    <w:rsid w:val="00833CBE"/>
    <w:rPr>
      <w:rFonts w:cs="Roboto"/>
      <w:color w:val="000000"/>
      <w:sz w:val="20"/>
      <w:szCs w:val="20"/>
    </w:rPr>
  </w:style>
  <w:style w:type="character" w:customStyle="1" w:styleId="listnumber">
    <w:name w:val="listnumber"/>
    <w:basedOn w:val="DefaultParagraphFont"/>
    <w:rsid w:val="00147354"/>
  </w:style>
  <w:style w:type="character" w:customStyle="1" w:styleId="Heading4Char">
    <w:name w:val="Heading 4 Char"/>
    <w:basedOn w:val="DefaultParagraphFont"/>
    <w:link w:val="Heading4"/>
    <w:uiPriority w:val="9"/>
    <w:rsid w:val="005673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979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64E5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00289">
      <w:bodyDiv w:val="1"/>
      <w:marLeft w:val="0"/>
      <w:marRight w:val="0"/>
      <w:marTop w:val="0"/>
      <w:marBottom w:val="0"/>
      <w:divBdr>
        <w:top w:val="none" w:sz="0" w:space="0" w:color="auto"/>
        <w:left w:val="none" w:sz="0" w:space="0" w:color="auto"/>
        <w:bottom w:val="none" w:sz="0" w:space="0" w:color="auto"/>
        <w:right w:val="none" w:sz="0" w:space="0" w:color="auto"/>
      </w:divBdr>
    </w:div>
    <w:div w:id="150603263">
      <w:bodyDiv w:val="1"/>
      <w:marLeft w:val="0"/>
      <w:marRight w:val="0"/>
      <w:marTop w:val="0"/>
      <w:marBottom w:val="0"/>
      <w:divBdr>
        <w:top w:val="none" w:sz="0" w:space="0" w:color="auto"/>
        <w:left w:val="none" w:sz="0" w:space="0" w:color="auto"/>
        <w:bottom w:val="none" w:sz="0" w:space="0" w:color="auto"/>
        <w:right w:val="none" w:sz="0" w:space="0" w:color="auto"/>
      </w:divBdr>
      <w:divsChild>
        <w:div w:id="1626152924">
          <w:blockQuote w:val="1"/>
          <w:marLeft w:val="600"/>
          <w:marRight w:val="0"/>
          <w:marTop w:val="120"/>
          <w:marBottom w:val="120"/>
          <w:divBdr>
            <w:top w:val="none" w:sz="0" w:space="0" w:color="auto"/>
            <w:left w:val="none" w:sz="0" w:space="0" w:color="auto"/>
            <w:bottom w:val="none" w:sz="0" w:space="0" w:color="auto"/>
            <w:right w:val="none" w:sz="0" w:space="0" w:color="auto"/>
          </w:divBdr>
        </w:div>
        <w:div w:id="151160449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069841458">
      <w:bodyDiv w:val="1"/>
      <w:marLeft w:val="0"/>
      <w:marRight w:val="0"/>
      <w:marTop w:val="0"/>
      <w:marBottom w:val="0"/>
      <w:divBdr>
        <w:top w:val="none" w:sz="0" w:space="0" w:color="auto"/>
        <w:left w:val="none" w:sz="0" w:space="0" w:color="auto"/>
        <w:bottom w:val="none" w:sz="0" w:space="0" w:color="auto"/>
        <w:right w:val="none" w:sz="0" w:space="0" w:color="auto"/>
      </w:divBdr>
      <w:divsChild>
        <w:div w:id="2128354174">
          <w:marLeft w:val="0"/>
          <w:marRight w:val="0"/>
          <w:marTop w:val="0"/>
          <w:marBottom w:val="0"/>
          <w:divBdr>
            <w:top w:val="none" w:sz="0" w:space="0" w:color="auto"/>
            <w:left w:val="none" w:sz="0" w:space="0" w:color="auto"/>
            <w:bottom w:val="none" w:sz="0" w:space="0" w:color="auto"/>
            <w:right w:val="none" w:sz="0" w:space="0" w:color="auto"/>
          </w:divBdr>
        </w:div>
      </w:divsChild>
    </w:div>
    <w:div w:id="1890265294">
      <w:bodyDiv w:val="1"/>
      <w:marLeft w:val="0"/>
      <w:marRight w:val="0"/>
      <w:marTop w:val="0"/>
      <w:marBottom w:val="0"/>
      <w:divBdr>
        <w:top w:val="none" w:sz="0" w:space="0" w:color="auto"/>
        <w:left w:val="none" w:sz="0" w:space="0" w:color="auto"/>
        <w:bottom w:val="none" w:sz="0" w:space="0" w:color="auto"/>
        <w:right w:val="none" w:sz="0" w:space="0" w:color="auto"/>
      </w:divBdr>
    </w:div>
    <w:div w:id="1912690963">
      <w:bodyDiv w:val="1"/>
      <w:marLeft w:val="0"/>
      <w:marRight w:val="0"/>
      <w:marTop w:val="0"/>
      <w:marBottom w:val="0"/>
      <w:divBdr>
        <w:top w:val="none" w:sz="0" w:space="0" w:color="auto"/>
        <w:left w:val="none" w:sz="0" w:space="0" w:color="auto"/>
        <w:bottom w:val="none" w:sz="0" w:space="0" w:color="auto"/>
        <w:right w:val="none" w:sz="0" w:space="0" w:color="auto"/>
      </w:divBdr>
    </w:div>
    <w:div w:id="1944921525">
      <w:bodyDiv w:val="1"/>
      <w:marLeft w:val="0"/>
      <w:marRight w:val="0"/>
      <w:marTop w:val="0"/>
      <w:marBottom w:val="0"/>
      <w:divBdr>
        <w:top w:val="none" w:sz="0" w:space="0" w:color="auto"/>
        <w:left w:val="none" w:sz="0" w:space="0" w:color="auto"/>
        <w:bottom w:val="none" w:sz="0" w:space="0" w:color="auto"/>
        <w:right w:val="none" w:sz="0" w:space="0" w:color="auto"/>
      </w:divBdr>
      <w:divsChild>
        <w:div w:id="653334079">
          <w:blockQuote w:val="1"/>
          <w:marLeft w:val="600"/>
          <w:marRight w:val="0"/>
          <w:marTop w:val="120"/>
          <w:marBottom w:val="120"/>
          <w:divBdr>
            <w:top w:val="none" w:sz="0" w:space="0" w:color="auto"/>
            <w:left w:val="none" w:sz="0" w:space="0" w:color="auto"/>
            <w:bottom w:val="none" w:sz="0" w:space="0" w:color="auto"/>
            <w:right w:val="none" w:sz="0" w:space="0" w:color="auto"/>
          </w:divBdr>
        </w:div>
        <w:div w:id="20956623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66948675">
      <w:bodyDiv w:val="1"/>
      <w:marLeft w:val="0"/>
      <w:marRight w:val="0"/>
      <w:marTop w:val="0"/>
      <w:marBottom w:val="0"/>
      <w:divBdr>
        <w:top w:val="none" w:sz="0" w:space="0" w:color="auto"/>
        <w:left w:val="none" w:sz="0" w:space="0" w:color="auto"/>
        <w:bottom w:val="none" w:sz="0" w:space="0" w:color="auto"/>
        <w:right w:val="none" w:sz="0" w:space="0" w:color="auto"/>
      </w:divBdr>
      <w:divsChild>
        <w:div w:id="1508056352">
          <w:marLeft w:val="0"/>
          <w:marRight w:val="0"/>
          <w:marTop w:val="0"/>
          <w:marBottom w:val="0"/>
          <w:divBdr>
            <w:top w:val="none" w:sz="0" w:space="0" w:color="auto"/>
            <w:left w:val="none" w:sz="0" w:space="0" w:color="DDDDDD"/>
            <w:bottom w:val="none" w:sz="0" w:space="7" w:color="DDDDDD"/>
            <w:right w:val="none" w:sz="0" w:space="0" w:color="DDDDDD"/>
          </w:divBdr>
          <w:divsChild>
            <w:div w:id="621959460">
              <w:marLeft w:val="0"/>
              <w:marRight w:val="240"/>
              <w:marTop w:val="0"/>
              <w:marBottom w:val="0"/>
              <w:divBdr>
                <w:top w:val="none" w:sz="0" w:space="0" w:color="auto"/>
                <w:left w:val="none" w:sz="0" w:space="0" w:color="auto"/>
                <w:bottom w:val="none" w:sz="0" w:space="0" w:color="auto"/>
                <w:right w:val="none" w:sz="0" w:space="0" w:color="auto"/>
              </w:divBdr>
            </w:div>
          </w:divsChild>
        </w:div>
        <w:div w:id="1333604468">
          <w:marLeft w:val="0"/>
          <w:marRight w:val="0"/>
          <w:marTop w:val="0"/>
          <w:marBottom w:val="0"/>
          <w:divBdr>
            <w:top w:val="none" w:sz="0" w:space="0" w:color="auto"/>
            <w:left w:val="none" w:sz="0" w:space="0" w:color="auto"/>
            <w:bottom w:val="none" w:sz="0" w:space="0" w:color="auto"/>
            <w:right w:val="none" w:sz="0" w:space="0" w:color="auto"/>
          </w:divBdr>
          <w:divsChild>
            <w:div w:id="1592153566">
              <w:marLeft w:val="0"/>
              <w:marRight w:val="0"/>
              <w:marTop w:val="0"/>
              <w:marBottom w:val="0"/>
              <w:divBdr>
                <w:top w:val="none" w:sz="0" w:space="0" w:color="auto"/>
                <w:left w:val="none" w:sz="0" w:space="0" w:color="auto"/>
                <w:bottom w:val="none" w:sz="0" w:space="0" w:color="auto"/>
                <w:right w:val="none" w:sz="0" w:space="0" w:color="auto"/>
              </w:divBdr>
              <w:divsChild>
                <w:div w:id="148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ca.org.au/project/competitive-neutrality/" TargetMode="External"/><Relationship Id="rId18" Type="http://schemas.openxmlformats.org/officeDocument/2006/relationships/hyperlink" Target="https://www.qca.org.au/project/competitive-neutrality/" TargetMode="External"/><Relationship Id="rId3" Type="http://schemas.openxmlformats.org/officeDocument/2006/relationships/customXml" Target="../customXml/item3.xml"/><Relationship Id="rId21" Type="http://schemas.openxmlformats.org/officeDocument/2006/relationships/hyperlink" Target="https://www.qca.org.au/contact/" TargetMode="External"/><Relationship Id="rId7" Type="http://schemas.openxmlformats.org/officeDocument/2006/relationships/webSettings" Target="webSettings.xml"/><Relationship Id="rId12" Type="http://schemas.openxmlformats.org/officeDocument/2006/relationships/hyperlink" Target="https://www.localgovernment.qld.gov.au/__data/assets/pdf_file/0024/56553/annual-report-checklist.pdf" TargetMode="External"/><Relationship Id="rId17" Type="http://schemas.openxmlformats.org/officeDocument/2006/relationships/hyperlink" Target="https://www.qca.org.au/contact/" TargetMode="External"/><Relationship Id="rId2" Type="http://schemas.openxmlformats.org/officeDocument/2006/relationships/customXml" Target="../customXml/item2.xml"/><Relationship Id="rId16" Type="http://schemas.openxmlformats.org/officeDocument/2006/relationships/hyperlink" Target="https://www.qca.org.au/project/competitive-neutrality/" TargetMode="External"/><Relationship Id="rId20" Type="http://schemas.openxmlformats.org/officeDocument/2006/relationships/hyperlink" Target="https://www.qca.org.au/project/competitive-neutral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ernment.qld.gov.au/__data/assets/pdf_file/0024/56553/annual-report-checklist.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qca.org.au/wp-content/uploads/2021/06/competitive-neutrality-complaints-form-local-gov-1.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qca.org.au/wp-content/uploads/2021/06/competitive-neutrality-complaints-form-local-gov-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LGMAQLD/LGMAQLD/AIMMQLD/Government/Governance%20Advisory/Library/A%20-%20Templates%20-%20working%20documents/Queensland%20Competition%20Authorit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6" ma:contentTypeDescription="Create a new document." ma:contentTypeScope="" ma:versionID="63e6c1024d5e3957ac50b742847d8410">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b16e5e79dedf66740cf2c771567b99e9"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A496C-15D9-41DF-9B9E-7E7AD72C99AE}">
  <ds:schemaRefs>
    <ds:schemaRef ds:uri="http://schemas.microsoft.com/office/2006/metadata/properties"/>
    <ds:schemaRef ds:uri="http://schemas.microsoft.com/office/infopath/2007/PartnerControls"/>
    <ds:schemaRef ds:uri="56138cc0-c60c-4f59-9a02-b47a85bb93d7"/>
    <ds:schemaRef ds:uri="1ebafbfc-544b-4f2e-8dff-91b17aec97e9"/>
  </ds:schemaRefs>
</ds:datastoreItem>
</file>

<file path=customXml/itemProps2.xml><?xml version="1.0" encoding="utf-8"?>
<ds:datastoreItem xmlns:ds="http://schemas.openxmlformats.org/officeDocument/2006/customXml" ds:itemID="{C5CACF85-10A1-4AD3-9ECA-D29207D7D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3421-F837-4136-A1E1-E8D97EB22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10</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Perrett</dc:creator>
  <cp:keywords/>
  <dc:description/>
  <cp:lastModifiedBy>Liza Perrett</cp:lastModifiedBy>
  <cp:revision>157</cp:revision>
  <dcterms:created xsi:type="dcterms:W3CDTF">2023-01-04T02:23:00Z</dcterms:created>
  <dcterms:modified xsi:type="dcterms:W3CDTF">2024-03-11T01:38:00Z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